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90" w:type="dxa"/>
        <w:tblCellMar>
          <w:left w:w="0" w:type="dxa"/>
          <w:right w:w="0" w:type="dxa"/>
        </w:tblCellMar>
        <w:tblLook w:val="04A0" w:firstRow="1" w:lastRow="0" w:firstColumn="1" w:lastColumn="0" w:noHBand="0" w:noVBand="1"/>
      </w:tblPr>
      <w:tblGrid>
        <w:gridCol w:w="3277"/>
        <w:gridCol w:w="6513"/>
      </w:tblGrid>
      <w:tr w:rsidR="00EF1867" w:rsidRPr="00EF1867" w:rsidTr="00335835">
        <w:trPr>
          <w:trHeight w:val="831"/>
        </w:trPr>
        <w:tc>
          <w:tcPr>
            <w:tcW w:w="97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EF1867" w:rsidRPr="00EF1867" w:rsidRDefault="00EF1867" w:rsidP="00EF1867">
            <w:pPr>
              <w:spacing w:after="0" w:line="240" w:lineRule="auto"/>
              <w:ind w:left="90"/>
              <w:jc w:val="both"/>
              <w:rPr>
                <w:rFonts w:ascii="Times New Roman" w:eastAsia="Times New Roman" w:hAnsi="Times New Roman" w:cs="Times New Roman"/>
                <w:color w:val="000000"/>
                <w:sz w:val="28"/>
                <w:szCs w:val="28"/>
              </w:rPr>
            </w:pPr>
            <w:r w:rsidRPr="00EF1867">
              <w:rPr>
                <w:rFonts w:ascii="Times New Roman" w:eastAsia="Times New Roman" w:hAnsi="Times New Roman" w:cs="Times New Roman"/>
                <w:b/>
                <w:bCs/>
                <w:color w:val="000000"/>
                <w:sz w:val="28"/>
                <w:szCs w:val="28"/>
                <w:lang w:val="ru-RU"/>
              </w:rPr>
              <w:t xml:space="preserve">4. </w:t>
            </w:r>
            <w:proofErr w:type="spellStart"/>
            <w:r w:rsidRPr="00EF1867">
              <w:rPr>
                <w:rFonts w:ascii="Times New Roman" w:eastAsia="Times New Roman" w:hAnsi="Times New Roman" w:cs="Times New Roman"/>
                <w:b/>
                <w:bCs/>
                <w:color w:val="000000"/>
                <w:sz w:val="28"/>
                <w:szCs w:val="28"/>
                <w:lang w:val="ru-RU"/>
              </w:rPr>
              <w:t>Разминавания</w:t>
            </w:r>
            <w:proofErr w:type="spellEnd"/>
            <w:r w:rsidRPr="00EF1867">
              <w:rPr>
                <w:rFonts w:ascii="Times New Roman" w:eastAsia="Times New Roman" w:hAnsi="Times New Roman" w:cs="Times New Roman"/>
                <w:b/>
                <w:bCs/>
                <w:color w:val="000000"/>
                <w:sz w:val="28"/>
                <w:szCs w:val="28"/>
                <w:lang w:val="ru-RU"/>
              </w:rPr>
              <w:t xml:space="preserve"> в </w:t>
            </w:r>
            <w:proofErr w:type="spellStart"/>
            <w:r w:rsidRPr="00EF1867">
              <w:rPr>
                <w:rFonts w:ascii="Times New Roman" w:eastAsia="Times New Roman" w:hAnsi="Times New Roman" w:cs="Times New Roman"/>
                <w:b/>
                <w:bCs/>
                <w:color w:val="000000"/>
                <w:sz w:val="28"/>
                <w:szCs w:val="28"/>
                <w:lang w:val="ru-RU"/>
              </w:rPr>
              <w:t>данните</w:t>
            </w:r>
            <w:proofErr w:type="spellEnd"/>
            <w:r w:rsidRPr="00EF1867">
              <w:rPr>
                <w:rFonts w:ascii="Times New Roman" w:eastAsia="Times New Roman" w:hAnsi="Times New Roman" w:cs="Times New Roman"/>
                <w:b/>
                <w:bCs/>
                <w:color w:val="000000"/>
                <w:sz w:val="28"/>
                <w:szCs w:val="28"/>
                <w:lang w:val="ru-RU"/>
              </w:rPr>
              <w:t xml:space="preserve"> за </w:t>
            </w:r>
            <w:proofErr w:type="spellStart"/>
            <w:r w:rsidRPr="00EF1867">
              <w:rPr>
                <w:rFonts w:ascii="Times New Roman" w:eastAsia="Times New Roman" w:hAnsi="Times New Roman" w:cs="Times New Roman"/>
                <w:b/>
                <w:bCs/>
                <w:color w:val="000000"/>
                <w:sz w:val="28"/>
                <w:szCs w:val="28"/>
                <w:lang w:val="ru-RU"/>
              </w:rPr>
              <w:t>присъединени</w:t>
            </w:r>
            <w:proofErr w:type="spellEnd"/>
            <w:r w:rsidRPr="00EF1867">
              <w:rPr>
                <w:rFonts w:ascii="Times New Roman" w:eastAsia="Times New Roman" w:hAnsi="Times New Roman" w:cs="Times New Roman"/>
                <w:b/>
                <w:bCs/>
                <w:color w:val="000000"/>
                <w:sz w:val="28"/>
                <w:szCs w:val="28"/>
                <w:lang w:val="ru-RU"/>
              </w:rPr>
              <w:t xml:space="preserve"> ВЕИ централи и </w:t>
            </w:r>
            <w:proofErr w:type="spellStart"/>
            <w:r w:rsidRPr="00EF1867">
              <w:rPr>
                <w:rFonts w:ascii="Times New Roman" w:eastAsia="Times New Roman" w:hAnsi="Times New Roman" w:cs="Times New Roman"/>
                <w:b/>
                <w:bCs/>
                <w:color w:val="000000"/>
                <w:sz w:val="28"/>
                <w:szCs w:val="28"/>
                <w:lang w:val="ru-RU"/>
              </w:rPr>
              <w:t>разрешителните</w:t>
            </w:r>
            <w:proofErr w:type="spellEnd"/>
            <w:r w:rsidRPr="00EF1867">
              <w:rPr>
                <w:rFonts w:ascii="Times New Roman" w:eastAsia="Times New Roman" w:hAnsi="Times New Roman" w:cs="Times New Roman"/>
                <w:b/>
                <w:bCs/>
                <w:color w:val="000000"/>
                <w:sz w:val="28"/>
                <w:szCs w:val="28"/>
                <w:lang w:val="ru-RU"/>
              </w:rPr>
              <w:t xml:space="preserve"> им за </w:t>
            </w:r>
            <w:proofErr w:type="spellStart"/>
            <w:r w:rsidRPr="00EF1867">
              <w:rPr>
                <w:rFonts w:ascii="Times New Roman" w:eastAsia="Times New Roman" w:hAnsi="Times New Roman" w:cs="Times New Roman"/>
                <w:b/>
                <w:bCs/>
                <w:color w:val="000000"/>
                <w:sz w:val="28"/>
                <w:szCs w:val="28"/>
                <w:lang w:val="ru-RU"/>
              </w:rPr>
              <w:t>ползване</w:t>
            </w:r>
            <w:proofErr w:type="spellEnd"/>
            <w:r w:rsidRPr="00EF1867">
              <w:rPr>
                <w:rFonts w:ascii="Times New Roman" w:eastAsia="Times New Roman" w:hAnsi="Times New Roman" w:cs="Times New Roman"/>
                <w:b/>
                <w:bCs/>
                <w:color w:val="000000"/>
                <w:sz w:val="28"/>
                <w:szCs w:val="28"/>
                <w:lang w:val="ru-RU"/>
              </w:rPr>
              <w:t xml:space="preserve"> </w:t>
            </w:r>
            <w:proofErr w:type="gramStart"/>
            <w:r w:rsidRPr="00EF1867">
              <w:rPr>
                <w:rFonts w:ascii="Times New Roman" w:eastAsia="Times New Roman" w:hAnsi="Times New Roman" w:cs="Times New Roman"/>
                <w:b/>
                <w:bCs/>
                <w:color w:val="000000"/>
                <w:sz w:val="28"/>
                <w:szCs w:val="28"/>
                <w:lang w:val="ru-RU"/>
              </w:rPr>
              <w:t>от</w:t>
            </w:r>
            <w:proofErr w:type="gramEnd"/>
            <w:r w:rsidRPr="00EF1867">
              <w:rPr>
                <w:rFonts w:ascii="Times New Roman" w:eastAsia="Times New Roman" w:hAnsi="Times New Roman" w:cs="Times New Roman"/>
                <w:b/>
                <w:bCs/>
                <w:color w:val="000000"/>
                <w:sz w:val="28"/>
                <w:szCs w:val="28"/>
                <w:lang w:val="ru-RU"/>
              </w:rPr>
              <w:t xml:space="preserve"> страна на </w:t>
            </w:r>
            <w:r w:rsidRPr="00EF1867">
              <w:rPr>
                <w:rFonts w:ascii="Times New Roman" w:eastAsia="Times New Roman" w:hAnsi="Times New Roman" w:cs="Times New Roman"/>
                <w:b/>
                <w:bCs/>
                <w:color w:val="000000"/>
                <w:sz w:val="28"/>
                <w:szCs w:val="28"/>
                <w:lang w:val="bg-BG"/>
              </w:rPr>
              <w:t>ЕРП</w:t>
            </w:r>
            <w:r w:rsidRPr="00EF1867">
              <w:rPr>
                <w:rFonts w:ascii="Times New Roman" w:eastAsia="Times New Roman" w:hAnsi="Times New Roman" w:cs="Times New Roman"/>
                <w:b/>
                <w:bCs/>
                <w:color w:val="000000"/>
                <w:sz w:val="28"/>
                <w:szCs w:val="28"/>
                <w:lang w:val="ru-RU"/>
              </w:rPr>
              <w:t xml:space="preserve"> и ДНСК: </w:t>
            </w:r>
          </w:p>
        </w:tc>
      </w:tr>
      <w:tr w:rsidR="00EF1867" w:rsidRPr="00EF1867" w:rsidTr="00335835">
        <w:trPr>
          <w:trHeight w:val="2045"/>
        </w:trPr>
        <w:tc>
          <w:tcPr>
            <w:tcW w:w="327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EF1867" w:rsidRPr="00EF1867" w:rsidRDefault="00EF1867" w:rsidP="00EF1867">
            <w:pPr>
              <w:spacing w:after="0" w:line="240" w:lineRule="auto"/>
              <w:ind w:left="90"/>
              <w:jc w:val="both"/>
              <w:rPr>
                <w:rFonts w:ascii="Times New Roman" w:eastAsia="Times New Roman" w:hAnsi="Times New Roman" w:cs="Times New Roman"/>
                <w:color w:val="000000"/>
                <w:sz w:val="28"/>
                <w:szCs w:val="28"/>
              </w:rPr>
            </w:pPr>
            <w:r w:rsidRPr="00EF1867">
              <w:rPr>
                <w:rFonts w:ascii="Times New Roman" w:eastAsia="Times New Roman" w:hAnsi="Times New Roman" w:cs="Times New Roman"/>
                <w:color w:val="000000"/>
                <w:sz w:val="28"/>
                <w:szCs w:val="28"/>
                <w:lang w:val="bg-BG"/>
              </w:rPr>
              <w:t>„</w:t>
            </w:r>
            <w:proofErr w:type="spellStart"/>
            <w:r w:rsidRPr="00EF1867">
              <w:rPr>
                <w:rFonts w:ascii="Times New Roman" w:eastAsia="Times New Roman" w:hAnsi="Times New Roman" w:cs="Times New Roman"/>
                <w:b/>
                <w:bCs/>
                <w:color w:val="000000"/>
                <w:sz w:val="28"/>
                <w:szCs w:val="28"/>
                <w:lang w:val="bg-BG"/>
              </w:rPr>
              <w:t>Енерго</w:t>
            </w:r>
            <w:proofErr w:type="spellEnd"/>
            <w:r w:rsidRPr="00EF1867">
              <w:rPr>
                <w:rFonts w:ascii="Times New Roman" w:eastAsia="Times New Roman" w:hAnsi="Times New Roman" w:cs="Times New Roman"/>
                <w:b/>
                <w:bCs/>
                <w:color w:val="000000"/>
                <w:sz w:val="28"/>
                <w:szCs w:val="28"/>
                <w:lang w:val="bg-BG"/>
              </w:rPr>
              <w:t xml:space="preserve"> </w:t>
            </w:r>
            <w:proofErr w:type="spellStart"/>
            <w:r w:rsidRPr="00EF1867">
              <w:rPr>
                <w:rFonts w:ascii="Times New Roman" w:eastAsia="Times New Roman" w:hAnsi="Times New Roman" w:cs="Times New Roman"/>
                <w:b/>
                <w:bCs/>
                <w:color w:val="000000"/>
                <w:sz w:val="28"/>
                <w:szCs w:val="28"/>
                <w:lang w:val="bg-BG"/>
              </w:rPr>
              <w:t>Про</w:t>
            </w:r>
            <w:proofErr w:type="spellEnd"/>
            <w:r w:rsidRPr="00EF1867">
              <w:rPr>
                <w:rFonts w:ascii="Times New Roman" w:eastAsia="Times New Roman" w:hAnsi="Times New Roman" w:cs="Times New Roman"/>
                <w:b/>
                <w:bCs/>
                <w:color w:val="000000"/>
                <w:sz w:val="28"/>
                <w:szCs w:val="28"/>
                <w:lang w:val="bg-BG"/>
              </w:rPr>
              <w:t xml:space="preserve"> Мрежи“ АД</w:t>
            </w:r>
          </w:p>
          <w:p w:rsidR="00EF1867" w:rsidRPr="00EF1867" w:rsidRDefault="00EF1867" w:rsidP="00EF1867">
            <w:pPr>
              <w:spacing w:after="0" w:line="240" w:lineRule="auto"/>
              <w:ind w:left="90"/>
              <w:jc w:val="both"/>
              <w:rPr>
                <w:rFonts w:ascii="Times New Roman" w:eastAsia="Times New Roman" w:hAnsi="Times New Roman" w:cs="Times New Roman"/>
                <w:color w:val="000000"/>
                <w:sz w:val="28"/>
                <w:szCs w:val="28"/>
              </w:rPr>
            </w:pPr>
            <w:r w:rsidRPr="00EF1867">
              <w:rPr>
                <w:rFonts w:ascii="Times New Roman" w:eastAsia="Times New Roman" w:hAnsi="Times New Roman" w:cs="Times New Roman"/>
                <w:color w:val="000000"/>
                <w:sz w:val="28"/>
                <w:szCs w:val="28"/>
                <w:lang w:val="bg-BG"/>
              </w:rPr>
              <w:t> </w:t>
            </w:r>
          </w:p>
        </w:tc>
        <w:tc>
          <w:tcPr>
            <w:tcW w:w="651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EF1867" w:rsidRPr="00EF1867" w:rsidRDefault="00EF1867" w:rsidP="00EF1867">
            <w:pPr>
              <w:spacing w:after="0" w:line="240" w:lineRule="auto"/>
              <w:ind w:left="90"/>
              <w:jc w:val="both"/>
              <w:rPr>
                <w:rFonts w:ascii="Times New Roman" w:eastAsia="Times New Roman" w:hAnsi="Times New Roman" w:cs="Times New Roman"/>
                <w:color w:val="000000"/>
                <w:sz w:val="28"/>
                <w:szCs w:val="28"/>
              </w:rPr>
            </w:pPr>
            <w:r w:rsidRPr="00EF1867">
              <w:rPr>
                <w:rFonts w:ascii="Times New Roman" w:eastAsia="Times New Roman" w:hAnsi="Times New Roman" w:cs="Times New Roman"/>
                <w:b/>
                <w:bCs/>
                <w:color w:val="000000"/>
                <w:sz w:val="28"/>
                <w:szCs w:val="28"/>
                <w:lang w:val="ru-RU"/>
              </w:rPr>
              <w:t>„</w:t>
            </w:r>
            <w:proofErr w:type="spellStart"/>
            <w:r w:rsidRPr="00EF1867">
              <w:rPr>
                <w:rFonts w:ascii="Times New Roman" w:eastAsia="Times New Roman" w:hAnsi="Times New Roman" w:cs="Times New Roman"/>
                <w:b/>
                <w:bCs/>
                <w:color w:val="000000"/>
                <w:sz w:val="28"/>
                <w:szCs w:val="28"/>
                <w:lang w:val="ru-RU"/>
              </w:rPr>
              <w:t>Енерго</w:t>
            </w:r>
            <w:proofErr w:type="spellEnd"/>
            <w:r w:rsidRPr="00EF1867">
              <w:rPr>
                <w:rFonts w:ascii="Times New Roman" w:eastAsia="Times New Roman" w:hAnsi="Times New Roman" w:cs="Times New Roman"/>
                <w:b/>
                <w:bCs/>
                <w:color w:val="000000"/>
                <w:sz w:val="28"/>
                <w:szCs w:val="28"/>
                <w:lang w:val="ru-RU"/>
              </w:rPr>
              <w:t xml:space="preserve">-Про Мрежи “ АД </w:t>
            </w:r>
            <w:proofErr w:type="spellStart"/>
            <w:r w:rsidRPr="00EF1867">
              <w:rPr>
                <w:rFonts w:ascii="Times New Roman" w:eastAsia="Times New Roman" w:hAnsi="Times New Roman" w:cs="Times New Roman"/>
                <w:b/>
                <w:bCs/>
                <w:color w:val="000000"/>
                <w:sz w:val="28"/>
                <w:szCs w:val="28"/>
                <w:lang w:val="ru-RU"/>
              </w:rPr>
              <w:t>предоставя</w:t>
            </w:r>
            <w:proofErr w:type="spellEnd"/>
            <w:r w:rsidRPr="00EF1867">
              <w:rPr>
                <w:rFonts w:ascii="Times New Roman" w:eastAsia="Times New Roman" w:hAnsi="Times New Roman" w:cs="Times New Roman"/>
                <w:b/>
                <w:bCs/>
                <w:color w:val="000000"/>
                <w:sz w:val="28"/>
                <w:szCs w:val="28"/>
                <w:lang w:val="ru-RU"/>
              </w:rPr>
              <w:t xml:space="preserve"> </w:t>
            </w:r>
            <w:proofErr w:type="spellStart"/>
            <w:r w:rsidRPr="00EF1867">
              <w:rPr>
                <w:rFonts w:ascii="Times New Roman" w:eastAsia="Times New Roman" w:hAnsi="Times New Roman" w:cs="Times New Roman"/>
                <w:b/>
                <w:bCs/>
                <w:color w:val="000000"/>
                <w:sz w:val="28"/>
                <w:szCs w:val="28"/>
                <w:lang w:val="ru-RU"/>
              </w:rPr>
              <w:t>данни</w:t>
            </w:r>
            <w:proofErr w:type="spellEnd"/>
            <w:r w:rsidRPr="00EF1867">
              <w:rPr>
                <w:rFonts w:ascii="Times New Roman" w:eastAsia="Times New Roman" w:hAnsi="Times New Roman" w:cs="Times New Roman"/>
                <w:b/>
                <w:bCs/>
                <w:color w:val="000000"/>
                <w:sz w:val="28"/>
                <w:szCs w:val="28"/>
                <w:lang w:val="ru-RU"/>
              </w:rPr>
              <w:t xml:space="preserve"> за 292 централи </w:t>
            </w:r>
          </w:p>
          <w:p w:rsidR="00EF1867" w:rsidRPr="00EF1867" w:rsidRDefault="00EF1867" w:rsidP="00EF1867">
            <w:pPr>
              <w:spacing w:after="0" w:line="240" w:lineRule="auto"/>
              <w:ind w:left="90"/>
              <w:jc w:val="both"/>
              <w:rPr>
                <w:rFonts w:ascii="Times New Roman" w:eastAsia="Times New Roman" w:hAnsi="Times New Roman" w:cs="Times New Roman"/>
                <w:color w:val="000000"/>
                <w:sz w:val="28"/>
                <w:szCs w:val="28"/>
              </w:rPr>
            </w:pPr>
            <w:r w:rsidRPr="00EF1867">
              <w:rPr>
                <w:rFonts w:ascii="Times New Roman" w:eastAsia="Times New Roman" w:hAnsi="Times New Roman" w:cs="Times New Roman"/>
                <w:b/>
                <w:bCs/>
                <w:color w:val="000000"/>
                <w:sz w:val="28"/>
                <w:szCs w:val="28"/>
                <w:lang w:val="ru-RU"/>
              </w:rPr>
              <w:t>ДНСК за 285 централи</w:t>
            </w:r>
            <w:proofErr w:type="gramStart"/>
            <w:r w:rsidRPr="00EF1867">
              <w:rPr>
                <w:rFonts w:ascii="Times New Roman" w:eastAsia="Times New Roman" w:hAnsi="Times New Roman" w:cs="Times New Roman"/>
                <w:b/>
                <w:bCs/>
                <w:color w:val="000000"/>
                <w:sz w:val="28"/>
                <w:szCs w:val="28"/>
                <w:lang w:val="ru-RU"/>
              </w:rPr>
              <w:t xml:space="preserve"> .</w:t>
            </w:r>
            <w:proofErr w:type="gramEnd"/>
          </w:p>
          <w:p w:rsidR="00EF1867" w:rsidRPr="00EF1867" w:rsidRDefault="00EF1867" w:rsidP="00EF1867">
            <w:pPr>
              <w:spacing w:after="0" w:line="240" w:lineRule="auto"/>
              <w:ind w:left="90"/>
              <w:jc w:val="both"/>
              <w:rPr>
                <w:rFonts w:ascii="Times New Roman" w:eastAsia="Times New Roman" w:hAnsi="Times New Roman" w:cs="Times New Roman"/>
                <w:color w:val="000000"/>
                <w:sz w:val="28"/>
                <w:szCs w:val="28"/>
              </w:rPr>
            </w:pPr>
            <w:r w:rsidRPr="00EF1867">
              <w:rPr>
                <w:rFonts w:ascii="Times New Roman" w:eastAsia="Times New Roman" w:hAnsi="Times New Roman" w:cs="Times New Roman"/>
                <w:b/>
                <w:bCs/>
                <w:color w:val="000000"/>
                <w:sz w:val="28"/>
                <w:szCs w:val="28"/>
                <w:lang w:val="ru-RU"/>
              </w:rPr>
              <w:t xml:space="preserve">34 </w:t>
            </w:r>
            <w:r w:rsidRPr="00EF1867">
              <w:rPr>
                <w:rFonts w:ascii="Times New Roman" w:eastAsia="Times New Roman" w:hAnsi="Times New Roman" w:cs="Times New Roman"/>
                <w:color w:val="000000"/>
                <w:sz w:val="28"/>
                <w:szCs w:val="28"/>
                <w:lang w:val="ru-RU"/>
              </w:rPr>
              <w:t xml:space="preserve">централи с </w:t>
            </w:r>
            <w:proofErr w:type="spellStart"/>
            <w:r w:rsidRPr="00EF1867">
              <w:rPr>
                <w:rFonts w:ascii="Times New Roman" w:eastAsia="Times New Roman" w:hAnsi="Times New Roman" w:cs="Times New Roman"/>
                <w:color w:val="000000"/>
                <w:sz w:val="28"/>
                <w:szCs w:val="28"/>
                <w:lang w:val="ru-RU"/>
              </w:rPr>
              <w:t>разрешителни</w:t>
            </w:r>
            <w:proofErr w:type="spellEnd"/>
            <w:r w:rsidRPr="00EF1867">
              <w:rPr>
                <w:rFonts w:ascii="Times New Roman" w:eastAsia="Times New Roman" w:hAnsi="Times New Roman" w:cs="Times New Roman"/>
                <w:color w:val="000000"/>
                <w:sz w:val="28"/>
                <w:szCs w:val="28"/>
                <w:lang w:val="ru-RU"/>
              </w:rPr>
              <w:t xml:space="preserve"> за </w:t>
            </w:r>
            <w:proofErr w:type="spellStart"/>
            <w:r w:rsidRPr="00EF1867">
              <w:rPr>
                <w:rFonts w:ascii="Times New Roman" w:eastAsia="Times New Roman" w:hAnsi="Times New Roman" w:cs="Times New Roman"/>
                <w:color w:val="000000"/>
                <w:sz w:val="28"/>
                <w:szCs w:val="28"/>
                <w:lang w:val="ru-RU"/>
              </w:rPr>
              <w:t>ползване</w:t>
            </w:r>
            <w:proofErr w:type="spellEnd"/>
            <w:r w:rsidRPr="00EF1867">
              <w:rPr>
                <w:rFonts w:ascii="Times New Roman" w:eastAsia="Times New Roman" w:hAnsi="Times New Roman" w:cs="Times New Roman"/>
                <w:color w:val="000000"/>
                <w:sz w:val="28"/>
                <w:szCs w:val="28"/>
                <w:lang w:val="ru-RU"/>
              </w:rPr>
              <w:t xml:space="preserve"> от ДНСК не </w:t>
            </w:r>
            <w:proofErr w:type="spellStart"/>
            <w:r w:rsidRPr="00EF1867">
              <w:rPr>
                <w:rFonts w:ascii="Times New Roman" w:eastAsia="Times New Roman" w:hAnsi="Times New Roman" w:cs="Times New Roman"/>
                <w:color w:val="000000"/>
                <w:sz w:val="28"/>
                <w:szCs w:val="28"/>
                <w:lang w:val="ru-RU"/>
              </w:rPr>
              <w:t>са</w:t>
            </w:r>
            <w:proofErr w:type="spellEnd"/>
            <w:r w:rsidRPr="00EF1867">
              <w:rPr>
                <w:rFonts w:ascii="Times New Roman" w:eastAsia="Times New Roman" w:hAnsi="Times New Roman" w:cs="Times New Roman"/>
                <w:color w:val="000000"/>
                <w:sz w:val="28"/>
                <w:szCs w:val="28"/>
                <w:lang w:val="ru-RU"/>
              </w:rPr>
              <w:t xml:space="preserve"> </w:t>
            </w:r>
            <w:proofErr w:type="spellStart"/>
            <w:r w:rsidRPr="00EF1867">
              <w:rPr>
                <w:rFonts w:ascii="Times New Roman" w:eastAsia="Times New Roman" w:hAnsi="Times New Roman" w:cs="Times New Roman"/>
                <w:color w:val="000000"/>
                <w:sz w:val="28"/>
                <w:szCs w:val="28"/>
                <w:lang w:val="ru-RU"/>
              </w:rPr>
              <w:t>предоставени</w:t>
            </w:r>
            <w:proofErr w:type="spellEnd"/>
            <w:r w:rsidRPr="00EF1867">
              <w:rPr>
                <w:rFonts w:ascii="Times New Roman" w:eastAsia="Times New Roman" w:hAnsi="Times New Roman" w:cs="Times New Roman"/>
                <w:color w:val="000000"/>
                <w:sz w:val="28"/>
                <w:szCs w:val="28"/>
                <w:lang w:val="ru-RU"/>
              </w:rPr>
              <w:t xml:space="preserve"> </w:t>
            </w:r>
            <w:proofErr w:type="spellStart"/>
            <w:r w:rsidRPr="00EF1867">
              <w:rPr>
                <w:rFonts w:ascii="Times New Roman" w:eastAsia="Times New Roman" w:hAnsi="Times New Roman" w:cs="Times New Roman"/>
                <w:color w:val="000000"/>
                <w:sz w:val="28"/>
                <w:szCs w:val="28"/>
                <w:lang w:val="ru-RU"/>
              </w:rPr>
              <w:t>като</w:t>
            </w:r>
            <w:proofErr w:type="spellEnd"/>
            <w:r w:rsidRPr="00EF1867">
              <w:rPr>
                <w:rFonts w:ascii="Times New Roman" w:eastAsia="Times New Roman" w:hAnsi="Times New Roman" w:cs="Times New Roman"/>
                <w:color w:val="000000"/>
                <w:sz w:val="28"/>
                <w:szCs w:val="28"/>
                <w:lang w:val="ru-RU"/>
              </w:rPr>
              <w:t xml:space="preserve"> </w:t>
            </w:r>
            <w:proofErr w:type="spellStart"/>
            <w:r w:rsidRPr="00EF1867">
              <w:rPr>
                <w:rFonts w:ascii="Times New Roman" w:eastAsia="Times New Roman" w:hAnsi="Times New Roman" w:cs="Times New Roman"/>
                <w:color w:val="000000"/>
                <w:sz w:val="28"/>
                <w:szCs w:val="28"/>
                <w:lang w:val="ru-RU"/>
              </w:rPr>
              <w:t>данни</w:t>
            </w:r>
            <w:proofErr w:type="spellEnd"/>
            <w:r w:rsidRPr="00EF1867">
              <w:rPr>
                <w:rFonts w:ascii="Times New Roman" w:eastAsia="Times New Roman" w:hAnsi="Times New Roman" w:cs="Times New Roman"/>
                <w:color w:val="000000"/>
                <w:sz w:val="28"/>
                <w:szCs w:val="28"/>
                <w:lang w:val="ru-RU"/>
              </w:rPr>
              <w:t xml:space="preserve"> от „</w:t>
            </w:r>
            <w:proofErr w:type="spellStart"/>
            <w:r w:rsidRPr="00EF1867">
              <w:rPr>
                <w:rFonts w:ascii="Times New Roman" w:eastAsia="Times New Roman" w:hAnsi="Times New Roman" w:cs="Times New Roman"/>
                <w:color w:val="000000"/>
                <w:sz w:val="28"/>
                <w:szCs w:val="28"/>
                <w:lang w:val="ru-RU"/>
              </w:rPr>
              <w:t>Енерго</w:t>
            </w:r>
            <w:proofErr w:type="spellEnd"/>
            <w:r w:rsidRPr="00EF1867">
              <w:rPr>
                <w:rFonts w:ascii="Times New Roman" w:eastAsia="Times New Roman" w:hAnsi="Times New Roman" w:cs="Times New Roman"/>
                <w:color w:val="000000"/>
                <w:sz w:val="28"/>
                <w:szCs w:val="28"/>
                <w:lang w:val="ru-RU"/>
              </w:rPr>
              <w:t xml:space="preserve">-Про Мрежи “ АД </w:t>
            </w:r>
          </w:p>
        </w:tc>
      </w:tr>
      <w:tr w:rsidR="00EF1867" w:rsidRPr="00EF1867" w:rsidTr="00335835">
        <w:trPr>
          <w:trHeight w:val="1246"/>
        </w:trPr>
        <w:tc>
          <w:tcPr>
            <w:tcW w:w="327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EF1867" w:rsidRPr="00EF1867" w:rsidRDefault="00EF1867" w:rsidP="00EF1867">
            <w:pPr>
              <w:spacing w:after="0" w:line="240" w:lineRule="auto"/>
              <w:ind w:left="90"/>
              <w:jc w:val="both"/>
              <w:rPr>
                <w:rFonts w:ascii="Times New Roman" w:eastAsia="Times New Roman" w:hAnsi="Times New Roman" w:cs="Times New Roman"/>
                <w:color w:val="000000"/>
                <w:sz w:val="28"/>
                <w:szCs w:val="28"/>
              </w:rPr>
            </w:pPr>
            <w:r w:rsidRPr="00EF1867">
              <w:rPr>
                <w:rFonts w:ascii="Times New Roman" w:eastAsia="Times New Roman" w:hAnsi="Times New Roman" w:cs="Times New Roman"/>
                <w:color w:val="000000"/>
                <w:sz w:val="28"/>
                <w:szCs w:val="28"/>
                <w:lang w:val="bg-BG"/>
              </w:rPr>
              <w:t>„</w:t>
            </w:r>
            <w:r w:rsidRPr="00EF1867">
              <w:rPr>
                <w:rFonts w:ascii="Times New Roman" w:eastAsia="Times New Roman" w:hAnsi="Times New Roman" w:cs="Times New Roman"/>
                <w:b/>
                <w:bCs/>
                <w:color w:val="000000"/>
                <w:sz w:val="28"/>
                <w:szCs w:val="28"/>
                <w:lang w:val="bg-BG"/>
              </w:rPr>
              <w:t>ЧЕЗ Електроразпределение България” АД</w:t>
            </w:r>
          </w:p>
        </w:tc>
        <w:tc>
          <w:tcPr>
            <w:tcW w:w="651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EF1867" w:rsidRPr="00EF1867" w:rsidRDefault="00EF1867" w:rsidP="00EF1867">
            <w:pPr>
              <w:spacing w:after="0" w:line="240" w:lineRule="auto"/>
              <w:ind w:left="90"/>
              <w:jc w:val="both"/>
              <w:rPr>
                <w:rFonts w:ascii="Times New Roman" w:eastAsia="Times New Roman" w:hAnsi="Times New Roman" w:cs="Times New Roman"/>
                <w:color w:val="000000"/>
                <w:sz w:val="28"/>
                <w:szCs w:val="28"/>
              </w:rPr>
            </w:pPr>
            <w:r w:rsidRPr="00EF1867">
              <w:rPr>
                <w:rFonts w:ascii="Times New Roman" w:eastAsia="Times New Roman" w:hAnsi="Times New Roman" w:cs="Times New Roman"/>
                <w:b/>
                <w:bCs/>
                <w:color w:val="000000"/>
                <w:sz w:val="28"/>
                <w:szCs w:val="28"/>
                <w:lang w:val="ru-RU"/>
              </w:rPr>
              <w:t xml:space="preserve">14 ВЕИ централи </w:t>
            </w:r>
            <w:proofErr w:type="spellStart"/>
            <w:r w:rsidRPr="00EF1867">
              <w:rPr>
                <w:rFonts w:ascii="Times New Roman" w:eastAsia="Times New Roman" w:hAnsi="Times New Roman" w:cs="Times New Roman"/>
                <w:b/>
                <w:bCs/>
                <w:color w:val="000000"/>
                <w:sz w:val="28"/>
                <w:szCs w:val="28"/>
                <w:lang w:val="ru-RU"/>
              </w:rPr>
              <w:t>са</w:t>
            </w:r>
            <w:proofErr w:type="spellEnd"/>
            <w:r w:rsidRPr="00EF1867">
              <w:rPr>
                <w:rFonts w:ascii="Times New Roman" w:eastAsia="Times New Roman" w:hAnsi="Times New Roman" w:cs="Times New Roman"/>
                <w:b/>
                <w:bCs/>
                <w:color w:val="000000"/>
                <w:sz w:val="28"/>
                <w:szCs w:val="28"/>
                <w:lang w:val="ru-RU"/>
              </w:rPr>
              <w:t xml:space="preserve"> </w:t>
            </w:r>
            <w:proofErr w:type="spellStart"/>
            <w:r w:rsidRPr="00EF1867">
              <w:rPr>
                <w:rFonts w:ascii="Times New Roman" w:eastAsia="Times New Roman" w:hAnsi="Times New Roman" w:cs="Times New Roman"/>
                <w:b/>
                <w:bCs/>
                <w:color w:val="000000"/>
                <w:sz w:val="28"/>
                <w:szCs w:val="28"/>
                <w:lang w:val="ru-RU"/>
              </w:rPr>
              <w:t>констатирани</w:t>
            </w:r>
            <w:proofErr w:type="spellEnd"/>
            <w:r w:rsidRPr="00EF1867">
              <w:rPr>
                <w:rFonts w:ascii="Times New Roman" w:eastAsia="Times New Roman" w:hAnsi="Times New Roman" w:cs="Times New Roman"/>
                <w:b/>
                <w:bCs/>
                <w:color w:val="000000"/>
                <w:sz w:val="28"/>
                <w:szCs w:val="28"/>
                <w:lang w:val="ru-RU"/>
              </w:rPr>
              <w:t xml:space="preserve"> </w:t>
            </w:r>
            <w:proofErr w:type="spellStart"/>
            <w:r w:rsidRPr="00EF1867">
              <w:rPr>
                <w:rFonts w:ascii="Times New Roman" w:eastAsia="Times New Roman" w:hAnsi="Times New Roman" w:cs="Times New Roman"/>
                <w:b/>
                <w:bCs/>
                <w:color w:val="000000"/>
                <w:sz w:val="28"/>
                <w:szCs w:val="28"/>
                <w:lang w:val="ru-RU"/>
              </w:rPr>
              <w:t>разминавания</w:t>
            </w:r>
            <w:proofErr w:type="spellEnd"/>
            <w:r w:rsidRPr="00EF1867">
              <w:rPr>
                <w:rFonts w:ascii="Times New Roman" w:eastAsia="Times New Roman" w:hAnsi="Times New Roman" w:cs="Times New Roman"/>
                <w:b/>
                <w:bCs/>
                <w:color w:val="000000"/>
                <w:sz w:val="28"/>
                <w:szCs w:val="28"/>
                <w:lang w:val="ru-RU"/>
              </w:rPr>
              <w:t xml:space="preserve"> между </w:t>
            </w:r>
            <w:proofErr w:type="spellStart"/>
            <w:r w:rsidRPr="00EF1867">
              <w:rPr>
                <w:rFonts w:ascii="Times New Roman" w:eastAsia="Times New Roman" w:hAnsi="Times New Roman" w:cs="Times New Roman"/>
                <w:b/>
                <w:bCs/>
                <w:color w:val="000000"/>
                <w:sz w:val="28"/>
                <w:szCs w:val="28"/>
                <w:lang w:val="ru-RU"/>
              </w:rPr>
              <w:t>данните</w:t>
            </w:r>
            <w:proofErr w:type="spellEnd"/>
            <w:r w:rsidRPr="00EF1867">
              <w:rPr>
                <w:rFonts w:ascii="Times New Roman" w:eastAsia="Times New Roman" w:hAnsi="Times New Roman" w:cs="Times New Roman"/>
                <w:b/>
                <w:bCs/>
                <w:color w:val="000000"/>
                <w:sz w:val="28"/>
                <w:szCs w:val="28"/>
                <w:lang w:val="ru-RU"/>
              </w:rPr>
              <w:t xml:space="preserve"> в ЕРП и от ДНСК.</w:t>
            </w:r>
            <w:proofErr w:type="gramStart"/>
            <w:r w:rsidRPr="00EF1867">
              <w:rPr>
                <w:rFonts w:ascii="Times New Roman" w:eastAsia="Times New Roman" w:hAnsi="Times New Roman" w:cs="Times New Roman"/>
                <w:b/>
                <w:bCs/>
                <w:color w:val="000000"/>
                <w:sz w:val="28"/>
                <w:szCs w:val="28"/>
                <w:lang w:val="ru-RU"/>
              </w:rPr>
              <w:t xml:space="preserve"> </w:t>
            </w:r>
            <w:r w:rsidRPr="00EF1867">
              <w:rPr>
                <w:rFonts w:ascii="Times New Roman" w:eastAsia="Times New Roman" w:hAnsi="Times New Roman" w:cs="Times New Roman"/>
                <w:color w:val="000000"/>
                <w:sz w:val="28"/>
                <w:szCs w:val="28"/>
                <w:lang w:val="ru-RU"/>
              </w:rPr>
              <w:t>.</w:t>
            </w:r>
            <w:proofErr w:type="gramEnd"/>
            <w:r w:rsidRPr="00EF1867">
              <w:rPr>
                <w:rFonts w:ascii="Times New Roman" w:eastAsia="Times New Roman" w:hAnsi="Times New Roman" w:cs="Times New Roman"/>
                <w:color w:val="000000"/>
                <w:sz w:val="28"/>
                <w:szCs w:val="28"/>
                <w:lang w:val="ru-RU"/>
              </w:rPr>
              <w:t xml:space="preserve"> </w:t>
            </w:r>
          </w:p>
        </w:tc>
      </w:tr>
      <w:tr w:rsidR="00EF1867" w:rsidRPr="00EF1867" w:rsidTr="00335835">
        <w:trPr>
          <w:trHeight w:val="2846"/>
        </w:trPr>
        <w:tc>
          <w:tcPr>
            <w:tcW w:w="327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EF1867" w:rsidRPr="00EF1867" w:rsidRDefault="00EF1867" w:rsidP="00EF1867">
            <w:pPr>
              <w:spacing w:after="0" w:line="240" w:lineRule="auto"/>
              <w:ind w:left="90"/>
              <w:jc w:val="both"/>
              <w:rPr>
                <w:rFonts w:ascii="Times New Roman" w:eastAsia="Times New Roman" w:hAnsi="Times New Roman" w:cs="Times New Roman"/>
                <w:color w:val="000000"/>
                <w:sz w:val="28"/>
                <w:szCs w:val="28"/>
              </w:rPr>
            </w:pPr>
            <w:r w:rsidRPr="00EF1867">
              <w:rPr>
                <w:rFonts w:ascii="Times New Roman" w:eastAsia="Times New Roman" w:hAnsi="Times New Roman" w:cs="Times New Roman"/>
                <w:b/>
                <w:bCs/>
                <w:color w:val="000000"/>
                <w:sz w:val="28"/>
                <w:szCs w:val="28"/>
                <w:lang w:val="bg-BG"/>
              </w:rPr>
              <w:t>„ЕВН България Електроразпределение” ЕАД</w:t>
            </w:r>
          </w:p>
        </w:tc>
        <w:tc>
          <w:tcPr>
            <w:tcW w:w="651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EF1867" w:rsidRPr="00EF1867" w:rsidRDefault="00EF1867" w:rsidP="00EF1867">
            <w:pPr>
              <w:spacing w:after="0" w:line="240" w:lineRule="auto"/>
              <w:ind w:left="90"/>
              <w:jc w:val="both"/>
              <w:rPr>
                <w:rFonts w:ascii="Times New Roman" w:eastAsia="Times New Roman" w:hAnsi="Times New Roman" w:cs="Times New Roman"/>
                <w:color w:val="000000"/>
                <w:sz w:val="28"/>
                <w:szCs w:val="28"/>
              </w:rPr>
            </w:pPr>
            <w:r w:rsidRPr="00EF1867">
              <w:rPr>
                <w:rFonts w:ascii="Times New Roman" w:eastAsia="Times New Roman" w:hAnsi="Times New Roman" w:cs="Times New Roman"/>
                <w:color w:val="000000"/>
                <w:sz w:val="28"/>
                <w:szCs w:val="28"/>
                <w:lang w:val="ru-RU"/>
              </w:rPr>
              <w:t xml:space="preserve">за 43 ВЕИ централи </w:t>
            </w:r>
            <w:proofErr w:type="spellStart"/>
            <w:r w:rsidRPr="00EF1867">
              <w:rPr>
                <w:rFonts w:ascii="Times New Roman" w:eastAsia="Times New Roman" w:hAnsi="Times New Roman" w:cs="Times New Roman"/>
                <w:color w:val="000000"/>
                <w:sz w:val="28"/>
                <w:szCs w:val="28"/>
                <w:lang w:val="ru-RU"/>
              </w:rPr>
              <w:t>са</w:t>
            </w:r>
            <w:proofErr w:type="spellEnd"/>
            <w:r w:rsidRPr="00EF1867">
              <w:rPr>
                <w:rFonts w:ascii="Times New Roman" w:eastAsia="Times New Roman" w:hAnsi="Times New Roman" w:cs="Times New Roman"/>
                <w:color w:val="000000"/>
                <w:sz w:val="28"/>
                <w:szCs w:val="28"/>
                <w:lang w:val="ru-RU"/>
              </w:rPr>
              <w:t xml:space="preserve"> </w:t>
            </w:r>
            <w:proofErr w:type="spellStart"/>
            <w:r w:rsidRPr="00EF1867">
              <w:rPr>
                <w:rFonts w:ascii="Times New Roman" w:eastAsia="Times New Roman" w:hAnsi="Times New Roman" w:cs="Times New Roman"/>
                <w:color w:val="000000"/>
                <w:sz w:val="28"/>
                <w:szCs w:val="28"/>
                <w:lang w:val="ru-RU"/>
              </w:rPr>
              <w:t>костатирани</w:t>
            </w:r>
            <w:proofErr w:type="spellEnd"/>
            <w:r w:rsidRPr="00EF1867">
              <w:rPr>
                <w:rFonts w:ascii="Times New Roman" w:eastAsia="Times New Roman" w:hAnsi="Times New Roman" w:cs="Times New Roman"/>
                <w:color w:val="000000"/>
                <w:sz w:val="28"/>
                <w:szCs w:val="28"/>
                <w:lang w:val="ru-RU"/>
              </w:rPr>
              <w:t xml:space="preserve"> </w:t>
            </w:r>
            <w:proofErr w:type="spellStart"/>
            <w:r w:rsidRPr="00EF1867">
              <w:rPr>
                <w:rFonts w:ascii="Times New Roman" w:eastAsia="Times New Roman" w:hAnsi="Times New Roman" w:cs="Times New Roman"/>
                <w:color w:val="000000"/>
                <w:sz w:val="28"/>
                <w:szCs w:val="28"/>
                <w:lang w:val="ru-RU"/>
              </w:rPr>
              <w:t>разминавания</w:t>
            </w:r>
            <w:proofErr w:type="spellEnd"/>
            <w:r w:rsidRPr="00EF1867">
              <w:rPr>
                <w:rFonts w:ascii="Times New Roman" w:eastAsia="Times New Roman" w:hAnsi="Times New Roman" w:cs="Times New Roman"/>
                <w:color w:val="000000"/>
                <w:sz w:val="28"/>
                <w:szCs w:val="28"/>
                <w:lang w:val="ru-RU"/>
              </w:rPr>
              <w:t xml:space="preserve"> </w:t>
            </w:r>
            <w:proofErr w:type="spellStart"/>
            <w:r w:rsidRPr="00EF1867">
              <w:rPr>
                <w:rFonts w:ascii="Times New Roman" w:eastAsia="Times New Roman" w:hAnsi="Times New Roman" w:cs="Times New Roman"/>
                <w:color w:val="000000"/>
                <w:sz w:val="28"/>
                <w:szCs w:val="28"/>
                <w:lang w:val="ru-RU"/>
              </w:rPr>
              <w:t>по-големи</w:t>
            </w:r>
            <w:proofErr w:type="spellEnd"/>
            <w:r w:rsidRPr="00EF1867">
              <w:rPr>
                <w:rFonts w:ascii="Times New Roman" w:eastAsia="Times New Roman" w:hAnsi="Times New Roman" w:cs="Times New Roman"/>
                <w:color w:val="000000"/>
                <w:sz w:val="28"/>
                <w:szCs w:val="28"/>
                <w:lang w:val="ru-RU"/>
              </w:rPr>
              <w:t xml:space="preserve"> от 25 KW, между </w:t>
            </w:r>
            <w:proofErr w:type="spellStart"/>
            <w:r w:rsidRPr="00EF1867">
              <w:rPr>
                <w:rFonts w:ascii="Times New Roman" w:eastAsia="Times New Roman" w:hAnsi="Times New Roman" w:cs="Times New Roman"/>
                <w:color w:val="000000"/>
                <w:sz w:val="28"/>
                <w:szCs w:val="28"/>
                <w:lang w:val="ru-RU"/>
              </w:rPr>
              <w:t>присъединена</w:t>
            </w:r>
            <w:proofErr w:type="spellEnd"/>
            <w:r w:rsidRPr="00EF1867">
              <w:rPr>
                <w:rFonts w:ascii="Times New Roman" w:eastAsia="Times New Roman" w:hAnsi="Times New Roman" w:cs="Times New Roman"/>
                <w:color w:val="000000"/>
                <w:sz w:val="28"/>
                <w:szCs w:val="28"/>
                <w:lang w:val="ru-RU"/>
              </w:rPr>
              <w:t xml:space="preserve"> </w:t>
            </w:r>
            <w:proofErr w:type="spellStart"/>
            <w:r w:rsidRPr="00EF1867">
              <w:rPr>
                <w:rFonts w:ascii="Times New Roman" w:eastAsia="Times New Roman" w:hAnsi="Times New Roman" w:cs="Times New Roman"/>
                <w:color w:val="000000"/>
                <w:sz w:val="28"/>
                <w:szCs w:val="28"/>
                <w:lang w:val="ru-RU"/>
              </w:rPr>
              <w:t>инсталирана</w:t>
            </w:r>
            <w:proofErr w:type="spellEnd"/>
            <w:r w:rsidRPr="00EF1867">
              <w:rPr>
                <w:rFonts w:ascii="Times New Roman" w:eastAsia="Times New Roman" w:hAnsi="Times New Roman" w:cs="Times New Roman"/>
                <w:color w:val="000000"/>
                <w:sz w:val="28"/>
                <w:szCs w:val="28"/>
                <w:lang w:val="ru-RU"/>
              </w:rPr>
              <w:t xml:space="preserve"> </w:t>
            </w:r>
            <w:proofErr w:type="spellStart"/>
            <w:r w:rsidRPr="00EF1867">
              <w:rPr>
                <w:rFonts w:ascii="Times New Roman" w:eastAsia="Times New Roman" w:hAnsi="Times New Roman" w:cs="Times New Roman"/>
                <w:color w:val="000000"/>
                <w:sz w:val="28"/>
                <w:szCs w:val="28"/>
                <w:lang w:val="ru-RU"/>
              </w:rPr>
              <w:t>мощност</w:t>
            </w:r>
            <w:proofErr w:type="spellEnd"/>
            <w:r w:rsidRPr="00EF1867">
              <w:rPr>
                <w:rFonts w:ascii="Times New Roman" w:eastAsia="Times New Roman" w:hAnsi="Times New Roman" w:cs="Times New Roman"/>
                <w:color w:val="000000"/>
                <w:sz w:val="28"/>
                <w:szCs w:val="28"/>
                <w:lang w:val="ru-RU"/>
              </w:rPr>
              <w:t xml:space="preserve">, по </w:t>
            </w:r>
            <w:proofErr w:type="spellStart"/>
            <w:r w:rsidRPr="00EF1867">
              <w:rPr>
                <w:rFonts w:ascii="Times New Roman" w:eastAsia="Times New Roman" w:hAnsi="Times New Roman" w:cs="Times New Roman"/>
                <w:color w:val="000000"/>
                <w:sz w:val="28"/>
                <w:szCs w:val="28"/>
                <w:lang w:val="ru-RU"/>
              </w:rPr>
              <w:t>данни</w:t>
            </w:r>
            <w:proofErr w:type="spellEnd"/>
            <w:r w:rsidRPr="00EF1867">
              <w:rPr>
                <w:rFonts w:ascii="Times New Roman" w:eastAsia="Times New Roman" w:hAnsi="Times New Roman" w:cs="Times New Roman"/>
                <w:color w:val="000000"/>
                <w:sz w:val="28"/>
                <w:szCs w:val="28"/>
                <w:lang w:val="ru-RU"/>
              </w:rPr>
              <w:t xml:space="preserve"> на ЕВН  и </w:t>
            </w:r>
            <w:proofErr w:type="spellStart"/>
            <w:r w:rsidRPr="00EF1867">
              <w:rPr>
                <w:rFonts w:ascii="Times New Roman" w:eastAsia="Times New Roman" w:hAnsi="Times New Roman" w:cs="Times New Roman"/>
                <w:color w:val="000000"/>
                <w:sz w:val="28"/>
                <w:szCs w:val="28"/>
                <w:lang w:val="ru-RU"/>
              </w:rPr>
              <w:t>разрешително</w:t>
            </w:r>
            <w:proofErr w:type="spellEnd"/>
            <w:r w:rsidRPr="00EF1867">
              <w:rPr>
                <w:rFonts w:ascii="Times New Roman" w:eastAsia="Times New Roman" w:hAnsi="Times New Roman" w:cs="Times New Roman"/>
                <w:color w:val="000000"/>
                <w:sz w:val="28"/>
                <w:szCs w:val="28"/>
                <w:lang w:val="ru-RU"/>
              </w:rPr>
              <w:t xml:space="preserve"> </w:t>
            </w:r>
            <w:proofErr w:type="gramStart"/>
            <w:r w:rsidRPr="00EF1867">
              <w:rPr>
                <w:rFonts w:ascii="Times New Roman" w:eastAsia="Times New Roman" w:hAnsi="Times New Roman" w:cs="Times New Roman"/>
                <w:color w:val="000000"/>
                <w:sz w:val="28"/>
                <w:szCs w:val="28"/>
                <w:lang w:val="ru-RU"/>
              </w:rPr>
              <w:t>за</w:t>
            </w:r>
            <w:proofErr w:type="gramEnd"/>
            <w:r w:rsidRPr="00EF1867">
              <w:rPr>
                <w:rFonts w:ascii="Times New Roman" w:eastAsia="Times New Roman" w:hAnsi="Times New Roman" w:cs="Times New Roman"/>
                <w:color w:val="000000"/>
                <w:sz w:val="28"/>
                <w:szCs w:val="28"/>
                <w:lang w:val="ru-RU"/>
              </w:rPr>
              <w:t xml:space="preserve"> </w:t>
            </w:r>
            <w:proofErr w:type="spellStart"/>
            <w:r w:rsidRPr="00EF1867">
              <w:rPr>
                <w:rFonts w:ascii="Times New Roman" w:eastAsia="Times New Roman" w:hAnsi="Times New Roman" w:cs="Times New Roman"/>
                <w:color w:val="000000"/>
                <w:sz w:val="28"/>
                <w:szCs w:val="28"/>
                <w:lang w:val="ru-RU"/>
              </w:rPr>
              <w:t>ползване</w:t>
            </w:r>
            <w:proofErr w:type="spellEnd"/>
            <w:r w:rsidRPr="00EF1867">
              <w:rPr>
                <w:rFonts w:ascii="Times New Roman" w:eastAsia="Times New Roman" w:hAnsi="Times New Roman" w:cs="Times New Roman"/>
                <w:color w:val="000000"/>
                <w:sz w:val="28"/>
                <w:szCs w:val="28"/>
                <w:lang w:val="ru-RU"/>
              </w:rPr>
              <w:t xml:space="preserve"> от ДНСК;</w:t>
            </w:r>
          </w:p>
          <w:p w:rsidR="00EF1867" w:rsidRPr="00EF1867" w:rsidRDefault="00EF1867" w:rsidP="00EF1867">
            <w:pPr>
              <w:spacing w:after="0" w:line="240" w:lineRule="auto"/>
              <w:ind w:left="90"/>
              <w:jc w:val="both"/>
              <w:rPr>
                <w:rFonts w:ascii="Times New Roman" w:eastAsia="Times New Roman" w:hAnsi="Times New Roman" w:cs="Times New Roman"/>
                <w:color w:val="000000"/>
                <w:sz w:val="28"/>
                <w:szCs w:val="28"/>
              </w:rPr>
            </w:pPr>
            <w:r w:rsidRPr="00EF1867">
              <w:rPr>
                <w:rFonts w:ascii="Times New Roman" w:eastAsia="Times New Roman" w:hAnsi="Times New Roman" w:cs="Times New Roman"/>
                <w:color w:val="000000"/>
                <w:sz w:val="28"/>
                <w:szCs w:val="28"/>
                <w:lang w:val="ru-RU"/>
              </w:rPr>
              <w:t xml:space="preserve">- за 43 ВЕИ централи </w:t>
            </w:r>
            <w:proofErr w:type="spellStart"/>
            <w:r w:rsidRPr="00EF1867">
              <w:rPr>
                <w:rFonts w:ascii="Times New Roman" w:eastAsia="Times New Roman" w:hAnsi="Times New Roman" w:cs="Times New Roman"/>
                <w:color w:val="000000"/>
                <w:sz w:val="28"/>
                <w:szCs w:val="28"/>
                <w:lang w:val="ru-RU"/>
              </w:rPr>
              <w:t>имат</w:t>
            </w:r>
            <w:proofErr w:type="spellEnd"/>
            <w:r w:rsidRPr="00EF1867">
              <w:rPr>
                <w:rFonts w:ascii="Times New Roman" w:eastAsia="Times New Roman" w:hAnsi="Times New Roman" w:cs="Times New Roman"/>
                <w:color w:val="000000"/>
                <w:sz w:val="28"/>
                <w:szCs w:val="28"/>
                <w:lang w:val="ru-RU"/>
              </w:rPr>
              <w:t xml:space="preserve"> разрешения за </w:t>
            </w:r>
            <w:proofErr w:type="spellStart"/>
            <w:r w:rsidRPr="00EF1867">
              <w:rPr>
                <w:rFonts w:ascii="Times New Roman" w:eastAsia="Times New Roman" w:hAnsi="Times New Roman" w:cs="Times New Roman"/>
                <w:color w:val="000000"/>
                <w:sz w:val="28"/>
                <w:szCs w:val="28"/>
                <w:lang w:val="ru-RU"/>
              </w:rPr>
              <w:t>ползване</w:t>
            </w:r>
            <w:proofErr w:type="spellEnd"/>
            <w:r w:rsidRPr="00EF1867">
              <w:rPr>
                <w:rFonts w:ascii="Times New Roman" w:eastAsia="Times New Roman" w:hAnsi="Times New Roman" w:cs="Times New Roman"/>
                <w:color w:val="000000"/>
                <w:sz w:val="28"/>
                <w:szCs w:val="28"/>
                <w:lang w:val="ru-RU"/>
              </w:rPr>
              <w:t xml:space="preserve">, в </w:t>
            </w:r>
            <w:proofErr w:type="spellStart"/>
            <w:r w:rsidRPr="00EF1867">
              <w:rPr>
                <w:rFonts w:ascii="Times New Roman" w:eastAsia="Times New Roman" w:hAnsi="Times New Roman" w:cs="Times New Roman"/>
                <w:color w:val="000000"/>
                <w:sz w:val="28"/>
                <w:szCs w:val="28"/>
                <w:lang w:val="ru-RU"/>
              </w:rPr>
              <w:t>които</w:t>
            </w:r>
            <w:proofErr w:type="spellEnd"/>
            <w:r w:rsidRPr="00EF1867">
              <w:rPr>
                <w:rFonts w:ascii="Times New Roman" w:eastAsia="Times New Roman" w:hAnsi="Times New Roman" w:cs="Times New Roman"/>
                <w:color w:val="000000"/>
                <w:sz w:val="28"/>
                <w:szCs w:val="28"/>
                <w:lang w:val="ru-RU"/>
              </w:rPr>
              <w:t xml:space="preserve"> не е </w:t>
            </w:r>
            <w:proofErr w:type="spellStart"/>
            <w:r w:rsidRPr="00EF1867">
              <w:rPr>
                <w:rFonts w:ascii="Times New Roman" w:eastAsia="Times New Roman" w:hAnsi="Times New Roman" w:cs="Times New Roman"/>
                <w:color w:val="000000"/>
                <w:sz w:val="28"/>
                <w:szCs w:val="28"/>
                <w:lang w:val="ru-RU"/>
              </w:rPr>
              <w:t>посочена</w:t>
            </w:r>
            <w:proofErr w:type="spellEnd"/>
            <w:r w:rsidRPr="00EF1867">
              <w:rPr>
                <w:rFonts w:ascii="Times New Roman" w:eastAsia="Times New Roman" w:hAnsi="Times New Roman" w:cs="Times New Roman"/>
                <w:color w:val="000000"/>
                <w:sz w:val="28"/>
                <w:szCs w:val="28"/>
                <w:lang w:val="ru-RU"/>
              </w:rPr>
              <w:t xml:space="preserve"> </w:t>
            </w:r>
            <w:proofErr w:type="spellStart"/>
            <w:r w:rsidRPr="00EF1867">
              <w:rPr>
                <w:rFonts w:ascii="Times New Roman" w:eastAsia="Times New Roman" w:hAnsi="Times New Roman" w:cs="Times New Roman"/>
                <w:color w:val="000000"/>
                <w:sz w:val="28"/>
                <w:szCs w:val="28"/>
                <w:lang w:val="ru-RU"/>
              </w:rPr>
              <w:t>инсталираната</w:t>
            </w:r>
            <w:proofErr w:type="spellEnd"/>
            <w:r w:rsidRPr="00EF1867">
              <w:rPr>
                <w:rFonts w:ascii="Times New Roman" w:eastAsia="Times New Roman" w:hAnsi="Times New Roman" w:cs="Times New Roman"/>
                <w:color w:val="000000"/>
                <w:sz w:val="28"/>
                <w:szCs w:val="28"/>
                <w:lang w:val="ru-RU"/>
              </w:rPr>
              <w:t xml:space="preserve"> </w:t>
            </w:r>
            <w:proofErr w:type="spellStart"/>
            <w:r w:rsidRPr="00EF1867">
              <w:rPr>
                <w:rFonts w:ascii="Times New Roman" w:eastAsia="Times New Roman" w:hAnsi="Times New Roman" w:cs="Times New Roman"/>
                <w:color w:val="000000"/>
                <w:sz w:val="28"/>
                <w:szCs w:val="28"/>
                <w:lang w:val="ru-RU"/>
              </w:rPr>
              <w:t>мощност</w:t>
            </w:r>
            <w:proofErr w:type="spellEnd"/>
            <w:r w:rsidRPr="00EF1867">
              <w:rPr>
                <w:rFonts w:ascii="Times New Roman" w:eastAsia="Times New Roman" w:hAnsi="Times New Roman" w:cs="Times New Roman"/>
                <w:color w:val="000000"/>
                <w:sz w:val="28"/>
                <w:szCs w:val="28"/>
                <w:lang w:val="ru-RU"/>
              </w:rPr>
              <w:t>.</w:t>
            </w:r>
          </w:p>
          <w:p w:rsidR="00EF1867" w:rsidRPr="00EF1867" w:rsidRDefault="00EF1867" w:rsidP="00EF1867">
            <w:pPr>
              <w:spacing w:after="0" w:line="240" w:lineRule="auto"/>
              <w:ind w:left="90"/>
              <w:jc w:val="both"/>
              <w:rPr>
                <w:rFonts w:ascii="Times New Roman" w:eastAsia="Times New Roman" w:hAnsi="Times New Roman" w:cs="Times New Roman"/>
                <w:color w:val="000000"/>
                <w:sz w:val="28"/>
                <w:szCs w:val="28"/>
              </w:rPr>
            </w:pPr>
            <w:r w:rsidRPr="00EF1867">
              <w:rPr>
                <w:rFonts w:ascii="Times New Roman" w:eastAsia="Times New Roman" w:hAnsi="Times New Roman" w:cs="Times New Roman"/>
                <w:color w:val="000000"/>
                <w:sz w:val="28"/>
                <w:szCs w:val="28"/>
                <w:lang w:val="ru-RU"/>
              </w:rPr>
              <w:t xml:space="preserve">- за 4 ВЕИ централи </w:t>
            </w:r>
            <w:proofErr w:type="spellStart"/>
            <w:r w:rsidRPr="00EF1867">
              <w:rPr>
                <w:rFonts w:ascii="Times New Roman" w:eastAsia="Times New Roman" w:hAnsi="Times New Roman" w:cs="Times New Roman"/>
                <w:color w:val="000000"/>
                <w:sz w:val="28"/>
                <w:szCs w:val="28"/>
                <w:lang w:val="ru-RU"/>
              </w:rPr>
              <w:t>няма</w:t>
            </w:r>
            <w:proofErr w:type="spellEnd"/>
            <w:r w:rsidRPr="00EF1867">
              <w:rPr>
                <w:rFonts w:ascii="Times New Roman" w:eastAsia="Times New Roman" w:hAnsi="Times New Roman" w:cs="Times New Roman"/>
                <w:color w:val="000000"/>
                <w:sz w:val="28"/>
                <w:szCs w:val="28"/>
                <w:lang w:val="ru-RU"/>
              </w:rPr>
              <w:t xml:space="preserve"> </w:t>
            </w:r>
            <w:proofErr w:type="spellStart"/>
            <w:r w:rsidRPr="00EF1867">
              <w:rPr>
                <w:rFonts w:ascii="Times New Roman" w:eastAsia="Times New Roman" w:hAnsi="Times New Roman" w:cs="Times New Roman"/>
                <w:color w:val="000000"/>
                <w:sz w:val="28"/>
                <w:szCs w:val="28"/>
                <w:lang w:val="ru-RU"/>
              </w:rPr>
              <w:t>данни</w:t>
            </w:r>
            <w:proofErr w:type="spellEnd"/>
            <w:r w:rsidRPr="00EF1867">
              <w:rPr>
                <w:rFonts w:ascii="Times New Roman" w:eastAsia="Times New Roman" w:hAnsi="Times New Roman" w:cs="Times New Roman"/>
                <w:color w:val="000000"/>
                <w:sz w:val="28"/>
                <w:szCs w:val="28"/>
                <w:lang w:val="ru-RU"/>
              </w:rPr>
              <w:t xml:space="preserve"> за разрешение за </w:t>
            </w:r>
            <w:proofErr w:type="spellStart"/>
            <w:r w:rsidRPr="00EF1867">
              <w:rPr>
                <w:rFonts w:ascii="Times New Roman" w:eastAsia="Times New Roman" w:hAnsi="Times New Roman" w:cs="Times New Roman"/>
                <w:color w:val="000000"/>
                <w:sz w:val="28"/>
                <w:szCs w:val="28"/>
                <w:lang w:val="ru-RU"/>
              </w:rPr>
              <w:t>ползване</w:t>
            </w:r>
            <w:proofErr w:type="spellEnd"/>
            <w:r w:rsidRPr="00EF1867">
              <w:rPr>
                <w:rFonts w:ascii="Times New Roman" w:eastAsia="Times New Roman" w:hAnsi="Times New Roman" w:cs="Times New Roman"/>
                <w:color w:val="000000"/>
                <w:sz w:val="28"/>
                <w:szCs w:val="28"/>
                <w:lang w:val="ru-RU"/>
              </w:rPr>
              <w:t xml:space="preserve"> /да се </w:t>
            </w:r>
            <w:proofErr w:type="spellStart"/>
            <w:proofErr w:type="gramStart"/>
            <w:r w:rsidRPr="00EF1867">
              <w:rPr>
                <w:rFonts w:ascii="Times New Roman" w:eastAsia="Times New Roman" w:hAnsi="Times New Roman" w:cs="Times New Roman"/>
                <w:color w:val="000000"/>
                <w:sz w:val="28"/>
                <w:szCs w:val="28"/>
                <w:lang w:val="ru-RU"/>
              </w:rPr>
              <w:t>провери</w:t>
            </w:r>
            <w:proofErr w:type="spellEnd"/>
            <w:r w:rsidRPr="00EF1867">
              <w:rPr>
                <w:rFonts w:ascii="Times New Roman" w:eastAsia="Times New Roman" w:hAnsi="Times New Roman" w:cs="Times New Roman"/>
                <w:color w:val="000000"/>
                <w:sz w:val="28"/>
                <w:szCs w:val="28"/>
                <w:lang w:val="ru-RU"/>
              </w:rPr>
              <w:t xml:space="preserve"> в</w:t>
            </w:r>
            <w:proofErr w:type="gramEnd"/>
            <w:r w:rsidRPr="00EF1867">
              <w:rPr>
                <w:rFonts w:ascii="Times New Roman" w:eastAsia="Times New Roman" w:hAnsi="Times New Roman" w:cs="Times New Roman"/>
                <w:color w:val="000000"/>
                <w:sz w:val="28"/>
                <w:szCs w:val="28"/>
                <w:lang w:val="ru-RU"/>
              </w:rPr>
              <w:t xml:space="preserve"> </w:t>
            </w:r>
            <w:proofErr w:type="spellStart"/>
            <w:r w:rsidRPr="00EF1867">
              <w:rPr>
                <w:rFonts w:ascii="Times New Roman" w:eastAsia="Times New Roman" w:hAnsi="Times New Roman" w:cs="Times New Roman"/>
                <w:color w:val="000000"/>
                <w:sz w:val="28"/>
                <w:szCs w:val="28"/>
                <w:lang w:val="ru-RU"/>
              </w:rPr>
              <w:t>данните</w:t>
            </w:r>
            <w:proofErr w:type="spellEnd"/>
            <w:r w:rsidRPr="00EF1867">
              <w:rPr>
                <w:rFonts w:ascii="Times New Roman" w:eastAsia="Times New Roman" w:hAnsi="Times New Roman" w:cs="Times New Roman"/>
                <w:color w:val="000000"/>
                <w:sz w:val="28"/>
                <w:szCs w:val="28"/>
                <w:lang w:val="ru-RU"/>
              </w:rPr>
              <w:t xml:space="preserve"> на ДНСК/ </w:t>
            </w:r>
          </w:p>
        </w:tc>
      </w:tr>
    </w:tbl>
    <w:tbl>
      <w:tblPr>
        <w:tblpPr w:leftFromText="180" w:rightFromText="180" w:vertAnchor="page" w:horzAnchor="margin" w:tblpY="9630"/>
        <w:tblW w:w="9790" w:type="dxa"/>
        <w:tblCellMar>
          <w:left w:w="0" w:type="dxa"/>
          <w:right w:w="0" w:type="dxa"/>
        </w:tblCellMar>
        <w:tblLook w:val="04A0" w:firstRow="1" w:lastRow="0" w:firstColumn="1" w:lastColumn="0" w:noHBand="0" w:noVBand="1"/>
      </w:tblPr>
      <w:tblGrid>
        <w:gridCol w:w="4713"/>
        <w:gridCol w:w="5077"/>
      </w:tblGrid>
      <w:tr w:rsidR="00EF1867" w:rsidRPr="00F83356" w:rsidTr="00EF1867">
        <w:trPr>
          <w:trHeight w:val="596"/>
        </w:trPr>
        <w:tc>
          <w:tcPr>
            <w:tcW w:w="97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EF1867" w:rsidRPr="00EF1867" w:rsidRDefault="00EF1867" w:rsidP="00EF1867">
            <w:pPr>
              <w:spacing w:after="0" w:line="240" w:lineRule="auto"/>
              <w:rPr>
                <w:rFonts w:ascii="Times New Roman" w:eastAsia="Times New Roman" w:hAnsi="Times New Roman" w:cs="Times New Roman"/>
                <w:b/>
                <w:bCs/>
                <w:color w:val="000000"/>
                <w:sz w:val="28"/>
                <w:szCs w:val="28"/>
                <w:lang w:val="ru-RU"/>
              </w:rPr>
            </w:pPr>
            <w:r w:rsidRPr="00F83356">
              <w:rPr>
                <w:rFonts w:ascii="Times New Roman" w:eastAsia="Times New Roman" w:hAnsi="Times New Roman" w:cs="Times New Roman"/>
                <w:b/>
                <w:bCs/>
                <w:color w:val="000000"/>
                <w:sz w:val="28"/>
                <w:szCs w:val="28"/>
                <w:lang w:val="ru-RU"/>
              </w:rPr>
              <w:t xml:space="preserve">5. Проблем </w:t>
            </w:r>
            <w:proofErr w:type="spellStart"/>
            <w:r w:rsidRPr="00F83356">
              <w:rPr>
                <w:rFonts w:ascii="Times New Roman" w:eastAsia="Times New Roman" w:hAnsi="Times New Roman" w:cs="Times New Roman"/>
                <w:b/>
                <w:bCs/>
                <w:color w:val="000000"/>
                <w:sz w:val="28"/>
                <w:szCs w:val="28"/>
                <w:lang w:val="ru-RU"/>
              </w:rPr>
              <w:t>свързан</w:t>
            </w:r>
            <w:proofErr w:type="spellEnd"/>
            <w:r w:rsidRPr="00F83356">
              <w:rPr>
                <w:rFonts w:ascii="Times New Roman" w:eastAsia="Times New Roman" w:hAnsi="Times New Roman" w:cs="Times New Roman"/>
                <w:b/>
                <w:bCs/>
                <w:color w:val="000000"/>
                <w:sz w:val="28"/>
                <w:szCs w:val="28"/>
                <w:lang w:val="ru-RU"/>
              </w:rPr>
              <w:t xml:space="preserve"> с §.11 от ПЗР на ЗЕВИ</w:t>
            </w:r>
            <w:r w:rsidRPr="00F83356">
              <w:rPr>
                <w:rFonts w:ascii="Times New Roman" w:eastAsia="Times New Roman" w:hAnsi="Times New Roman" w:cs="Times New Roman"/>
                <w:b/>
                <w:bCs/>
                <w:color w:val="000000"/>
                <w:sz w:val="28"/>
                <w:szCs w:val="28"/>
                <w:lang w:val="bg-BG"/>
              </w:rPr>
              <w:t xml:space="preserve"> </w:t>
            </w:r>
          </w:p>
        </w:tc>
      </w:tr>
      <w:tr w:rsidR="00EF1867" w:rsidRPr="00F83356" w:rsidTr="00EF1867">
        <w:trPr>
          <w:trHeight w:val="758"/>
        </w:trPr>
        <w:tc>
          <w:tcPr>
            <w:tcW w:w="471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EF1867" w:rsidRPr="00F83356" w:rsidRDefault="00EF1867" w:rsidP="00EF1867">
            <w:pPr>
              <w:spacing w:after="0" w:line="240" w:lineRule="auto"/>
              <w:rPr>
                <w:rFonts w:ascii="Times New Roman" w:eastAsia="Times New Roman" w:hAnsi="Times New Roman" w:cs="Times New Roman"/>
                <w:color w:val="000000"/>
                <w:sz w:val="28"/>
                <w:szCs w:val="28"/>
              </w:rPr>
            </w:pPr>
            <w:r w:rsidRPr="00F83356">
              <w:rPr>
                <w:rFonts w:ascii="Times New Roman" w:eastAsia="Times New Roman" w:hAnsi="Times New Roman" w:cs="Times New Roman"/>
                <w:color w:val="000000"/>
                <w:sz w:val="28"/>
                <w:szCs w:val="28"/>
                <w:lang w:val="bg-BG"/>
              </w:rPr>
              <w:t>„</w:t>
            </w:r>
            <w:proofErr w:type="spellStart"/>
            <w:r w:rsidRPr="00F83356">
              <w:rPr>
                <w:rFonts w:ascii="Times New Roman" w:eastAsia="Times New Roman" w:hAnsi="Times New Roman" w:cs="Times New Roman"/>
                <w:b/>
                <w:bCs/>
                <w:color w:val="000000"/>
                <w:sz w:val="28"/>
                <w:szCs w:val="28"/>
                <w:lang w:val="bg-BG"/>
              </w:rPr>
              <w:t>Енерго</w:t>
            </w:r>
            <w:proofErr w:type="spellEnd"/>
            <w:r w:rsidRPr="00F83356">
              <w:rPr>
                <w:rFonts w:ascii="Times New Roman" w:eastAsia="Times New Roman" w:hAnsi="Times New Roman" w:cs="Times New Roman"/>
                <w:b/>
                <w:bCs/>
                <w:color w:val="000000"/>
                <w:sz w:val="28"/>
                <w:szCs w:val="28"/>
                <w:lang w:val="bg-BG"/>
              </w:rPr>
              <w:t xml:space="preserve"> </w:t>
            </w:r>
            <w:proofErr w:type="spellStart"/>
            <w:r w:rsidRPr="00F83356">
              <w:rPr>
                <w:rFonts w:ascii="Times New Roman" w:eastAsia="Times New Roman" w:hAnsi="Times New Roman" w:cs="Times New Roman"/>
                <w:b/>
                <w:bCs/>
                <w:color w:val="000000"/>
                <w:sz w:val="28"/>
                <w:szCs w:val="28"/>
                <w:lang w:val="bg-BG"/>
              </w:rPr>
              <w:t>Про</w:t>
            </w:r>
            <w:proofErr w:type="spellEnd"/>
            <w:r w:rsidRPr="00F83356">
              <w:rPr>
                <w:rFonts w:ascii="Times New Roman" w:eastAsia="Times New Roman" w:hAnsi="Times New Roman" w:cs="Times New Roman"/>
                <w:b/>
                <w:bCs/>
                <w:color w:val="000000"/>
                <w:sz w:val="28"/>
                <w:szCs w:val="28"/>
                <w:lang w:val="bg-BG"/>
              </w:rPr>
              <w:t xml:space="preserve"> Мрежи“ АД</w:t>
            </w:r>
          </w:p>
          <w:p w:rsidR="00EF1867" w:rsidRPr="00F83356" w:rsidRDefault="00EF1867" w:rsidP="00EF1867">
            <w:pPr>
              <w:spacing w:after="0" w:line="240" w:lineRule="auto"/>
              <w:rPr>
                <w:rFonts w:ascii="Times New Roman" w:eastAsia="Times New Roman" w:hAnsi="Times New Roman" w:cs="Times New Roman"/>
                <w:color w:val="000000"/>
                <w:sz w:val="28"/>
                <w:szCs w:val="28"/>
              </w:rPr>
            </w:pPr>
            <w:r w:rsidRPr="00F83356">
              <w:rPr>
                <w:rFonts w:ascii="Times New Roman" w:eastAsia="Times New Roman" w:hAnsi="Times New Roman" w:cs="Times New Roman"/>
                <w:color w:val="000000"/>
                <w:sz w:val="28"/>
                <w:szCs w:val="28"/>
                <w:lang w:val="bg-BG"/>
              </w:rPr>
              <w:t> </w:t>
            </w:r>
          </w:p>
        </w:tc>
        <w:tc>
          <w:tcPr>
            <w:tcW w:w="507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EF1867" w:rsidRPr="00F83356" w:rsidRDefault="00EF1867" w:rsidP="00EF1867">
            <w:pPr>
              <w:spacing w:after="0" w:line="240" w:lineRule="auto"/>
              <w:rPr>
                <w:rFonts w:ascii="Times New Roman" w:eastAsia="Times New Roman" w:hAnsi="Times New Roman" w:cs="Times New Roman"/>
                <w:color w:val="000000"/>
                <w:sz w:val="28"/>
                <w:szCs w:val="28"/>
              </w:rPr>
            </w:pPr>
            <w:r w:rsidRPr="00F83356">
              <w:rPr>
                <w:rFonts w:ascii="Times New Roman" w:eastAsia="Times New Roman" w:hAnsi="Times New Roman" w:cs="Times New Roman"/>
                <w:b/>
                <w:bCs/>
                <w:color w:val="000000"/>
                <w:sz w:val="28"/>
                <w:szCs w:val="28"/>
                <w:lang w:val="ru-RU"/>
              </w:rPr>
              <w:t xml:space="preserve">60 централи </w:t>
            </w:r>
            <w:proofErr w:type="spellStart"/>
            <w:r w:rsidRPr="00F83356">
              <w:rPr>
                <w:rFonts w:ascii="Times New Roman" w:eastAsia="Times New Roman" w:hAnsi="Times New Roman" w:cs="Times New Roman"/>
                <w:b/>
                <w:bCs/>
                <w:color w:val="000000"/>
                <w:sz w:val="28"/>
                <w:szCs w:val="28"/>
                <w:lang w:val="ru-RU"/>
              </w:rPr>
              <w:t>са</w:t>
            </w:r>
            <w:proofErr w:type="spellEnd"/>
            <w:r w:rsidRPr="00F83356">
              <w:rPr>
                <w:rFonts w:ascii="Times New Roman" w:eastAsia="Times New Roman" w:hAnsi="Times New Roman" w:cs="Times New Roman"/>
                <w:b/>
                <w:bCs/>
                <w:color w:val="000000"/>
                <w:sz w:val="28"/>
                <w:szCs w:val="28"/>
                <w:lang w:val="ru-RU"/>
              </w:rPr>
              <w:t xml:space="preserve"> се </w:t>
            </w:r>
            <w:proofErr w:type="spellStart"/>
            <w:r w:rsidRPr="00F83356">
              <w:rPr>
                <w:rFonts w:ascii="Times New Roman" w:eastAsia="Times New Roman" w:hAnsi="Times New Roman" w:cs="Times New Roman"/>
                <w:b/>
                <w:bCs/>
                <w:color w:val="000000"/>
                <w:sz w:val="28"/>
                <w:szCs w:val="28"/>
                <w:lang w:val="ru-RU"/>
              </w:rPr>
              <w:t>възползвали</w:t>
            </w:r>
            <w:proofErr w:type="spellEnd"/>
            <w:r w:rsidRPr="00F83356">
              <w:rPr>
                <w:rFonts w:ascii="Times New Roman" w:eastAsia="Times New Roman" w:hAnsi="Times New Roman" w:cs="Times New Roman"/>
                <w:b/>
                <w:bCs/>
                <w:color w:val="000000"/>
                <w:sz w:val="28"/>
                <w:szCs w:val="28"/>
                <w:lang w:val="ru-RU"/>
              </w:rPr>
              <w:t xml:space="preserve"> от </w:t>
            </w:r>
            <w:proofErr w:type="spellStart"/>
            <w:r w:rsidRPr="00F83356">
              <w:rPr>
                <w:rFonts w:ascii="Times New Roman" w:eastAsia="Times New Roman" w:hAnsi="Times New Roman" w:cs="Times New Roman"/>
                <w:b/>
                <w:bCs/>
                <w:color w:val="000000"/>
                <w:sz w:val="28"/>
                <w:szCs w:val="28"/>
                <w:lang w:val="ru-RU"/>
              </w:rPr>
              <w:t>възможността</w:t>
            </w:r>
            <w:proofErr w:type="spellEnd"/>
            <w:r w:rsidRPr="00F83356">
              <w:rPr>
                <w:rFonts w:ascii="Times New Roman" w:eastAsia="Times New Roman" w:hAnsi="Times New Roman" w:cs="Times New Roman"/>
                <w:b/>
                <w:bCs/>
                <w:color w:val="000000"/>
                <w:sz w:val="28"/>
                <w:szCs w:val="28"/>
                <w:lang w:val="ru-RU"/>
              </w:rPr>
              <w:t xml:space="preserve"> на §11 от ЗЕВИ.</w:t>
            </w:r>
          </w:p>
        </w:tc>
      </w:tr>
      <w:tr w:rsidR="00EF1867" w:rsidRPr="00F83356" w:rsidTr="00EF1867">
        <w:trPr>
          <w:trHeight w:val="956"/>
        </w:trPr>
        <w:tc>
          <w:tcPr>
            <w:tcW w:w="471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EF1867" w:rsidRPr="00F83356" w:rsidRDefault="00EF1867" w:rsidP="00EF1867">
            <w:pPr>
              <w:spacing w:after="0" w:line="240" w:lineRule="auto"/>
              <w:rPr>
                <w:rFonts w:ascii="Times New Roman" w:eastAsia="Times New Roman" w:hAnsi="Times New Roman" w:cs="Times New Roman"/>
                <w:color w:val="000000"/>
                <w:sz w:val="28"/>
                <w:szCs w:val="28"/>
              </w:rPr>
            </w:pPr>
            <w:r w:rsidRPr="00F83356">
              <w:rPr>
                <w:rFonts w:ascii="Times New Roman" w:eastAsia="Times New Roman" w:hAnsi="Times New Roman" w:cs="Times New Roman"/>
                <w:color w:val="000000"/>
                <w:sz w:val="28"/>
                <w:szCs w:val="28"/>
                <w:lang w:val="bg-BG"/>
              </w:rPr>
              <w:t>„</w:t>
            </w:r>
            <w:r w:rsidRPr="00F83356">
              <w:rPr>
                <w:rFonts w:ascii="Times New Roman" w:eastAsia="Times New Roman" w:hAnsi="Times New Roman" w:cs="Times New Roman"/>
                <w:b/>
                <w:bCs/>
                <w:color w:val="000000"/>
                <w:sz w:val="28"/>
                <w:szCs w:val="28"/>
                <w:lang w:val="bg-BG"/>
              </w:rPr>
              <w:t>ЧЕЗ Електроразпределение България” АД</w:t>
            </w:r>
          </w:p>
        </w:tc>
        <w:tc>
          <w:tcPr>
            <w:tcW w:w="507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EF1867" w:rsidRPr="00F83356" w:rsidRDefault="00EF1867" w:rsidP="00EF1867">
            <w:pPr>
              <w:spacing w:after="0" w:line="240" w:lineRule="auto"/>
              <w:rPr>
                <w:rFonts w:ascii="Times New Roman" w:eastAsia="Times New Roman" w:hAnsi="Times New Roman" w:cs="Times New Roman"/>
                <w:color w:val="000000"/>
                <w:sz w:val="28"/>
                <w:szCs w:val="28"/>
              </w:rPr>
            </w:pPr>
            <w:r w:rsidRPr="00F83356">
              <w:rPr>
                <w:rFonts w:ascii="Times New Roman" w:eastAsia="Times New Roman" w:hAnsi="Times New Roman" w:cs="Times New Roman"/>
                <w:b/>
                <w:bCs/>
                <w:color w:val="000000"/>
                <w:sz w:val="28"/>
                <w:szCs w:val="28"/>
                <w:lang w:val="ru-RU"/>
              </w:rPr>
              <w:t xml:space="preserve">62 ВЕИ централи </w:t>
            </w:r>
            <w:proofErr w:type="spellStart"/>
            <w:r w:rsidRPr="00F83356">
              <w:rPr>
                <w:rFonts w:ascii="Times New Roman" w:eastAsia="Times New Roman" w:hAnsi="Times New Roman" w:cs="Times New Roman"/>
                <w:b/>
                <w:bCs/>
                <w:color w:val="000000"/>
                <w:sz w:val="28"/>
                <w:szCs w:val="28"/>
                <w:lang w:val="ru-RU"/>
              </w:rPr>
              <w:t>са</w:t>
            </w:r>
            <w:proofErr w:type="spellEnd"/>
            <w:r w:rsidRPr="00F83356">
              <w:rPr>
                <w:rFonts w:ascii="Times New Roman" w:eastAsia="Times New Roman" w:hAnsi="Times New Roman" w:cs="Times New Roman"/>
                <w:b/>
                <w:bCs/>
                <w:color w:val="000000"/>
                <w:sz w:val="28"/>
                <w:szCs w:val="28"/>
                <w:lang w:val="ru-RU"/>
              </w:rPr>
              <w:t xml:space="preserve"> </w:t>
            </w:r>
            <w:proofErr w:type="spellStart"/>
            <w:r w:rsidRPr="00F83356">
              <w:rPr>
                <w:rFonts w:ascii="Times New Roman" w:eastAsia="Times New Roman" w:hAnsi="Times New Roman" w:cs="Times New Roman"/>
                <w:b/>
                <w:bCs/>
                <w:color w:val="000000"/>
                <w:sz w:val="28"/>
                <w:szCs w:val="28"/>
                <w:lang w:val="ru-RU"/>
              </w:rPr>
              <w:t>ползвали</w:t>
            </w:r>
            <w:proofErr w:type="spellEnd"/>
            <w:r w:rsidRPr="00F83356">
              <w:rPr>
                <w:rFonts w:ascii="Times New Roman" w:eastAsia="Times New Roman" w:hAnsi="Times New Roman" w:cs="Times New Roman"/>
                <w:b/>
                <w:bCs/>
                <w:color w:val="000000"/>
                <w:sz w:val="28"/>
                <w:szCs w:val="28"/>
                <w:lang w:val="ru-RU"/>
              </w:rPr>
              <w:t xml:space="preserve"> </w:t>
            </w:r>
            <w:proofErr w:type="spellStart"/>
            <w:r w:rsidRPr="00F83356">
              <w:rPr>
                <w:rFonts w:ascii="Times New Roman" w:eastAsia="Times New Roman" w:hAnsi="Times New Roman" w:cs="Times New Roman"/>
                <w:b/>
                <w:bCs/>
                <w:color w:val="000000"/>
                <w:sz w:val="28"/>
                <w:szCs w:val="28"/>
                <w:lang w:val="ru-RU"/>
              </w:rPr>
              <w:t>европейско</w:t>
            </w:r>
            <w:proofErr w:type="spellEnd"/>
            <w:r w:rsidRPr="00F83356">
              <w:rPr>
                <w:rFonts w:ascii="Times New Roman" w:eastAsia="Times New Roman" w:hAnsi="Times New Roman" w:cs="Times New Roman"/>
                <w:b/>
                <w:bCs/>
                <w:color w:val="000000"/>
                <w:sz w:val="28"/>
                <w:szCs w:val="28"/>
                <w:lang w:val="ru-RU"/>
              </w:rPr>
              <w:t xml:space="preserve"> </w:t>
            </w:r>
            <w:proofErr w:type="spellStart"/>
            <w:r w:rsidRPr="00F83356">
              <w:rPr>
                <w:rFonts w:ascii="Times New Roman" w:eastAsia="Times New Roman" w:hAnsi="Times New Roman" w:cs="Times New Roman"/>
                <w:b/>
                <w:bCs/>
                <w:color w:val="000000"/>
                <w:sz w:val="28"/>
                <w:szCs w:val="28"/>
                <w:lang w:val="ru-RU"/>
              </w:rPr>
              <w:t>финансиране</w:t>
            </w:r>
            <w:proofErr w:type="spellEnd"/>
            <w:r w:rsidRPr="00F83356">
              <w:rPr>
                <w:rFonts w:ascii="Times New Roman" w:eastAsia="Times New Roman" w:hAnsi="Times New Roman" w:cs="Times New Roman"/>
                <w:b/>
                <w:bCs/>
                <w:color w:val="000000"/>
                <w:sz w:val="28"/>
                <w:szCs w:val="28"/>
                <w:lang w:val="ru-RU"/>
              </w:rPr>
              <w:t xml:space="preserve"> </w:t>
            </w:r>
          </w:p>
        </w:tc>
      </w:tr>
      <w:tr w:rsidR="00EF1867" w:rsidRPr="00F83356" w:rsidTr="00EF1867">
        <w:trPr>
          <w:trHeight w:val="956"/>
        </w:trPr>
        <w:tc>
          <w:tcPr>
            <w:tcW w:w="471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EF1867" w:rsidRPr="00F83356" w:rsidRDefault="00EF1867" w:rsidP="00EF1867">
            <w:pPr>
              <w:spacing w:after="0" w:line="240" w:lineRule="auto"/>
              <w:rPr>
                <w:rFonts w:ascii="Times New Roman" w:eastAsia="Times New Roman" w:hAnsi="Times New Roman" w:cs="Times New Roman"/>
                <w:color w:val="000000"/>
                <w:sz w:val="28"/>
                <w:szCs w:val="28"/>
              </w:rPr>
            </w:pPr>
            <w:r w:rsidRPr="00F83356">
              <w:rPr>
                <w:rFonts w:ascii="Times New Roman" w:eastAsia="Times New Roman" w:hAnsi="Times New Roman" w:cs="Times New Roman"/>
                <w:b/>
                <w:bCs/>
                <w:color w:val="000000"/>
                <w:sz w:val="28"/>
                <w:szCs w:val="28"/>
                <w:lang w:val="bg-BG"/>
              </w:rPr>
              <w:t>„ЕВН България Електроразпределение” ЕАД</w:t>
            </w:r>
          </w:p>
        </w:tc>
        <w:tc>
          <w:tcPr>
            <w:tcW w:w="507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EF1867" w:rsidRPr="00F83356" w:rsidRDefault="00EF1867" w:rsidP="00EF1867">
            <w:pPr>
              <w:spacing w:after="0" w:line="240" w:lineRule="auto"/>
              <w:rPr>
                <w:rFonts w:ascii="Times New Roman" w:eastAsia="Times New Roman" w:hAnsi="Times New Roman" w:cs="Times New Roman"/>
                <w:color w:val="000000"/>
                <w:sz w:val="28"/>
                <w:szCs w:val="28"/>
              </w:rPr>
            </w:pPr>
            <w:r w:rsidRPr="00F83356">
              <w:rPr>
                <w:rFonts w:ascii="Times New Roman" w:eastAsia="Times New Roman" w:hAnsi="Times New Roman" w:cs="Times New Roman"/>
                <w:b/>
                <w:bCs/>
                <w:color w:val="000000"/>
                <w:sz w:val="28"/>
                <w:szCs w:val="28"/>
                <w:lang w:val="ru-RU"/>
              </w:rPr>
              <w:t xml:space="preserve">137 ВЕИ централи </w:t>
            </w:r>
            <w:r w:rsidRPr="00F83356">
              <w:rPr>
                <w:rFonts w:ascii="Times New Roman" w:eastAsia="Times New Roman" w:hAnsi="Times New Roman" w:cs="Times New Roman"/>
                <w:b/>
                <w:bCs/>
                <w:color w:val="000000"/>
                <w:sz w:val="28"/>
                <w:szCs w:val="28"/>
                <w:lang w:val="ru-RU"/>
              </w:rPr>
              <w:tab/>
            </w:r>
          </w:p>
        </w:tc>
      </w:tr>
    </w:tbl>
    <w:p w:rsidR="00F83356" w:rsidRDefault="00F83356" w:rsidP="00F83356">
      <w:pPr>
        <w:spacing w:after="0" w:line="240" w:lineRule="auto"/>
        <w:ind w:left="720" w:firstLine="708"/>
        <w:jc w:val="both"/>
        <w:rPr>
          <w:rFonts w:ascii="Times New Roman" w:eastAsia="Times New Roman" w:hAnsi="Times New Roman" w:cs="Times New Roman"/>
          <w:color w:val="000000"/>
          <w:sz w:val="28"/>
          <w:szCs w:val="28"/>
          <w:lang w:val="bg-BG"/>
        </w:rPr>
      </w:pPr>
    </w:p>
    <w:p w:rsidR="00EF1867" w:rsidRDefault="00EF1867" w:rsidP="00F83356">
      <w:pPr>
        <w:spacing w:after="0" w:line="240" w:lineRule="auto"/>
        <w:ind w:left="720" w:firstLine="708"/>
        <w:jc w:val="both"/>
        <w:rPr>
          <w:rFonts w:ascii="Times New Roman" w:eastAsia="Times New Roman" w:hAnsi="Times New Roman" w:cs="Times New Roman"/>
          <w:color w:val="000000"/>
          <w:sz w:val="28"/>
          <w:szCs w:val="28"/>
          <w:lang w:val="bg-BG"/>
        </w:rPr>
      </w:pPr>
    </w:p>
    <w:p w:rsidR="00EF1867" w:rsidRDefault="00EF1867" w:rsidP="00F83356">
      <w:pPr>
        <w:spacing w:after="0" w:line="240" w:lineRule="auto"/>
        <w:ind w:left="720" w:firstLine="708"/>
        <w:jc w:val="both"/>
        <w:rPr>
          <w:rFonts w:ascii="Times New Roman" w:eastAsia="Times New Roman" w:hAnsi="Times New Roman" w:cs="Times New Roman"/>
          <w:color w:val="000000"/>
          <w:sz w:val="28"/>
          <w:szCs w:val="28"/>
          <w:lang w:val="bg-BG"/>
        </w:rPr>
      </w:pPr>
    </w:p>
    <w:p w:rsidR="00EF1867" w:rsidRDefault="00EF1867" w:rsidP="00F83356">
      <w:pPr>
        <w:spacing w:after="0" w:line="240" w:lineRule="auto"/>
        <w:ind w:left="720" w:firstLine="708"/>
        <w:jc w:val="both"/>
        <w:rPr>
          <w:rFonts w:ascii="Times New Roman" w:eastAsia="Times New Roman" w:hAnsi="Times New Roman" w:cs="Times New Roman"/>
          <w:color w:val="000000"/>
          <w:sz w:val="28"/>
          <w:szCs w:val="28"/>
          <w:lang w:val="bg-BG"/>
        </w:rPr>
      </w:pPr>
    </w:p>
    <w:p w:rsidR="00EF1867" w:rsidRDefault="00EF1867" w:rsidP="00F83356">
      <w:pPr>
        <w:spacing w:after="0" w:line="240" w:lineRule="auto"/>
        <w:ind w:left="720" w:firstLine="708"/>
        <w:jc w:val="both"/>
        <w:rPr>
          <w:rFonts w:ascii="Times New Roman" w:eastAsia="Times New Roman" w:hAnsi="Times New Roman" w:cs="Times New Roman"/>
          <w:color w:val="000000"/>
          <w:sz w:val="28"/>
          <w:szCs w:val="28"/>
          <w:lang w:val="bg-BG"/>
        </w:rPr>
      </w:pPr>
    </w:p>
    <w:p w:rsidR="00EF1867" w:rsidRDefault="00EF1867" w:rsidP="00F83356">
      <w:pPr>
        <w:spacing w:after="0" w:line="240" w:lineRule="auto"/>
        <w:ind w:left="720" w:firstLine="708"/>
        <w:jc w:val="both"/>
        <w:rPr>
          <w:rFonts w:ascii="Times New Roman" w:eastAsia="Times New Roman" w:hAnsi="Times New Roman" w:cs="Times New Roman"/>
          <w:color w:val="000000"/>
          <w:sz w:val="28"/>
          <w:szCs w:val="28"/>
          <w:lang w:val="bg-BG"/>
        </w:rPr>
      </w:pPr>
    </w:p>
    <w:p w:rsidR="00EF1867" w:rsidRDefault="00EF1867" w:rsidP="00F83356">
      <w:pPr>
        <w:spacing w:after="0" w:line="240" w:lineRule="auto"/>
        <w:ind w:left="720" w:firstLine="708"/>
        <w:jc w:val="both"/>
        <w:rPr>
          <w:rFonts w:ascii="Times New Roman" w:eastAsia="Times New Roman" w:hAnsi="Times New Roman" w:cs="Times New Roman"/>
          <w:color w:val="000000"/>
          <w:sz w:val="28"/>
          <w:szCs w:val="28"/>
          <w:lang w:val="bg-BG"/>
        </w:rPr>
      </w:pPr>
      <w:bookmarkStart w:id="0" w:name="_GoBack"/>
      <w:bookmarkEnd w:id="0"/>
    </w:p>
    <w:p w:rsidR="00EF1867" w:rsidRPr="00EF1867" w:rsidRDefault="00EF1867" w:rsidP="00F83356">
      <w:pPr>
        <w:spacing w:after="0" w:line="240" w:lineRule="auto"/>
        <w:ind w:left="720" w:firstLine="708"/>
        <w:jc w:val="both"/>
        <w:rPr>
          <w:rFonts w:ascii="Times New Roman" w:eastAsia="Times New Roman" w:hAnsi="Times New Roman" w:cs="Times New Roman"/>
          <w:color w:val="000000"/>
          <w:sz w:val="28"/>
          <w:szCs w:val="28"/>
          <w:lang w:val="bg-BG"/>
        </w:rPr>
      </w:pPr>
    </w:p>
    <w:tbl>
      <w:tblPr>
        <w:tblW w:w="9790" w:type="dxa"/>
        <w:tblCellMar>
          <w:left w:w="0" w:type="dxa"/>
          <w:right w:w="0" w:type="dxa"/>
        </w:tblCellMar>
        <w:tblLook w:val="04A0" w:firstRow="1" w:lastRow="0" w:firstColumn="1" w:lastColumn="0" w:noHBand="0" w:noVBand="1"/>
      </w:tblPr>
      <w:tblGrid>
        <w:gridCol w:w="4713"/>
        <w:gridCol w:w="5077"/>
      </w:tblGrid>
      <w:tr w:rsidR="00F83356" w:rsidRPr="00F83356" w:rsidTr="00335835">
        <w:trPr>
          <w:trHeight w:val="596"/>
        </w:trPr>
        <w:tc>
          <w:tcPr>
            <w:tcW w:w="97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F83356" w:rsidRPr="00F83356" w:rsidRDefault="00F83356" w:rsidP="00F83356">
            <w:pPr>
              <w:spacing w:after="0" w:line="240" w:lineRule="auto"/>
              <w:rPr>
                <w:rFonts w:ascii="Arial" w:eastAsia="Times New Roman" w:hAnsi="Arial" w:cs="Times New Roman"/>
                <w:sz w:val="24"/>
                <w:szCs w:val="20"/>
              </w:rPr>
            </w:pPr>
            <w:r w:rsidRPr="00F83356">
              <w:rPr>
                <w:rFonts w:ascii="Arial" w:eastAsia="Times New Roman" w:hAnsi="Arial" w:cs="Times New Roman"/>
                <w:b/>
                <w:bCs/>
                <w:sz w:val="24"/>
                <w:szCs w:val="20"/>
                <w:lang w:val="ru-RU"/>
              </w:rPr>
              <w:t xml:space="preserve">6. .Договори за </w:t>
            </w:r>
            <w:proofErr w:type="spellStart"/>
            <w:r w:rsidRPr="00F83356">
              <w:rPr>
                <w:rFonts w:ascii="Arial" w:eastAsia="Times New Roman" w:hAnsi="Arial" w:cs="Times New Roman"/>
                <w:b/>
                <w:bCs/>
                <w:sz w:val="24"/>
                <w:szCs w:val="20"/>
                <w:lang w:val="ru-RU"/>
              </w:rPr>
              <w:t>достъп</w:t>
            </w:r>
            <w:proofErr w:type="spellEnd"/>
            <w:r w:rsidRPr="00F83356">
              <w:rPr>
                <w:rFonts w:ascii="Arial" w:eastAsia="Times New Roman" w:hAnsi="Arial" w:cs="Times New Roman"/>
                <w:b/>
                <w:bCs/>
                <w:sz w:val="24"/>
                <w:szCs w:val="20"/>
                <w:lang w:val="ru-RU"/>
              </w:rPr>
              <w:t xml:space="preserve"> до </w:t>
            </w:r>
            <w:proofErr w:type="spellStart"/>
            <w:r w:rsidRPr="00F83356">
              <w:rPr>
                <w:rFonts w:ascii="Arial" w:eastAsia="Times New Roman" w:hAnsi="Arial" w:cs="Times New Roman"/>
                <w:b/>
                <w:bCs/>
                <w:sz w:val="24"/>
                <w:szCs w:val="20"/>
                <w:lang w:val="ru-RU"/>
              </w:rPr>
              <w:t>мрежата</w:t>
            </w:r>
            <w:proofErr w:type="spellEnd"/>
            <w:r w:rsidRPr="00F83356">
              <w:rPr>
                <w:rFonts w:ascii="Arial" w:eastAsia="Times New Roman" w:hAnsi="Arial" w:cs="Times New Roman"/>
                <w:b/>
                <w:bCs/>
                <w:sz w:val="24"/>
                <w:szCs w:val="20"/>
                <w:lang w:val="ru-RU"/>
              </w:rPr>
              <w:t xml:space="preserve"> по чл. 104 от ЗЕ</w:t>
            </w:r>
          </w:p>
        </w:tc>
      </w:tr>
      <w:tr w:rsidR="00F83356" w:rsidRPr="00F83356" w:rsidTr="00335835">
        <w:trPr>
          <w:trHeight w:val="758"/>
        </w:trPr>
        <w:tc>
          <w:tcPr>
            <w:tcW w:w="471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F83356" w:rsidRPr="00F83356" w:rsidRDefault="00F83356" w:rsidP="00F83356">
            <w:pPr>
              <w:spacing w:after="0" w:line="240" w:lineRule="auto"/>
              <w:rPr>
                <w:rFonts w:ascii="Arial" w:eastAsia="Times New Roman" w:hAnsi="Arial" w:cs="Times New Roman"/>
                <w:sz w:val="24"/>
                <w:szCs w:val="20"/>
              </w:rPr>
            </w:pPr>
            <w:r w:rsidRPr="00F83356">
              <w:rPr>
                <w:rFonts w:ascii="Arial" w:eastAsia="Times New Roman" w:hAnsi="Arial" w:cs="Times New Roman"/>
                <w:sz w:val="24"/>
                <w:szCs w:val="20"/>
                <w:lang w:val="bg-BG"/>
              </w:rPr>
              <w:t>„</w:t>
            </w:r>
            <w:proofErr w:type="spellStart"/>
            <w:r w:rsidRPr="00F83356">
              <w:rPr>
                <w:rFonts w:ascii="Arial" w:eastAsia="Times New Roman" w:hAnsi="Arial" w:cs="Times New Roman"/>
                <w:b/>
                <w:bCs/>
                <w:sz w:val="24"/>
                <w:szCs w:val="20"/>
                <w:lang w:val="bg-BG"/>
              </w:rPr>
              <w:t>ЕнергоПро</w:t>
            </w:r>
            <w:proofErr w:type="spellEnd"/>
            <w:r w:rsidRPr="00F83356">
              <w:rPr>
                <w:rFonts w:ascii="Arial" w:eastAsia="Times New Roman" w:hAnsi="Arial" w:cs="Times New Roman"/>
                <w:b/>
                <w:bCs/>
                <w:sz w:val="24"/>
                <w:szCs w:val="20"/>
                <w:lang w:val="bg-BG"/>
              </w:rPr>
              <w:t xml:space="preserve"> Мрежи“ АД</w:t>
            </w:r>
          </w:p>
          <w:p w:rsidR="00F83356" w:rsidRPr="00F83356" w:rsidRDefault="00F83356" w:rsidP="00F83356">
            <w:pPr>
              <w:spacing w:after="0" w:line="240" w:lineRule="auto"/>
              <w:rPr>
                <w:rFonts w:ascii="Arial" w:eastAsia="Times New Roman" w:hAnsi="Arial" w:cs="Times New Roman"/>
                <w:sz w:val="24"/>
                <w:szCs w:val="20"/>
              </w:rPr>
            </w:pPr>
            <w:r w:rsidRPr="00F83356">
              <w:rPr>
                <w:rFonts w:ascii="Arial" w:eastAsia="Times New Roman" w:hAnsi="Arial" w:cs="Times New Roman"/>
                <w:sz w:val="24"/>
                <w:szCs w:val="20"/>
                <w:lang w:val="bg-BG"/>
              </w:rPr>
              <w:t> </w:t>
            </w:r>
          </w:p>
        </w:tc>
        <w:tc>
          <w:tcPr>
            <w:tcW w:w="507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F83356" w:rsidRPr="00F83356" w:rsidRDefault="00F83356" w:rsidP="00F83356">
            <w:pPr>
              <w:spacing w:after="0" w:line="240" w:lineRule="auto"/>
              <w:rPr>
                <w:rFonts w:ascii="Arial" w:eastAsia="Times New Roman" w:hAnsi="Arial" w:cs="Times New Roman"/>
                <w:sz w:val="24"/>
                <w:szCs w:val="20"/>
              </w:rPr>
            </w:pPr>
            <w:r w:rsidRPr="00F83356">
              <w:rPr>
                <w:rFonts w:ascii="Arial" w:eastAsia="Times New Roman" w:hAnsi="Arial" w:cs="Times New Roman"/>
                <w:b/>
                <w:bCs/>
                <w:sz w:val="24"/>
                <w:szCs w:val="20"/>
                <w:lang w:val="ru-RU"/>
              </w:rPr>
              <w:t xml:space="preserve">37 производители над 30 </w:t>
            </w:r>
            <w:proofErr w:type="spellStart"/>
            <w:proofErr w:type="gramStart"/>
            <w:r w:rsidRPr="00F83356">
              <w:rPr>
                <w:rFonts w:ascii="Arial" w:eastAsia="Times New Roman" w:hAnsi="Arial" w:cs="Times New Roman"/>
                <w:b/>
                <w:bCs/>
                <w:sz w:val="24"/>
                <w:szCs w:val="20"/>
                <w:lang w:val="ru-RU"/>
              </w:rPr>
              <w:t>kW</w:t>
            </w:r>
            <w:proofErr w:type="gramEnd"/>
            <w:r w:rsidRPr="00F83356">
              <w:rPr>
                <w:rFonts w:ascii="Arial" w:eastAsia="Times New Roman" w:hAnsi="Arial" w:cs="Times New Roman"/>
                <w:b/>
                <w:bCs/>
                <w:sz w:val="24"/>
                <w:szCs w:val="20"/>
                <w:lang w:val="ru-RU"/>
              </w:rPr>
              <w:t>нямат</w:t>
            </w:r>
            <w:proofErr w:type="spellEnd"/>
            <w:r w:rsidRPr="00F83356">
              <w:rPr>
                <w:rFonts w:ascii="Arial" w:eastAsia="Times New Roman" w:hAnsi="Arial" w:cs="Times New Roman"/>
                <w:b/>
                <w:bCs/>
                <w:sz w:val="24"/>
                <w:szCs w:val="20"/>
                <w:lang w:val="ru-RU"/>
              </w:rPr>
              <w:t xml:space="preserve"> договор за </w:t>
            </w:r>
            <w:proofErr w:type="spellStart"/>
            <w:r w:rsidRPr="00F83356">
              <w:rPr>
                <w:rFonts w:ascii="Arial" w:eastAsia="Times New Roman" w:hAnsi="Arial" w:cs="Times New Roman"/>
                <w:b/>
                <w:bCs/>
                <w:sz w:val="24"/>
                <w:szCs w:val="20"/>
                <w:lang w:val="ru-RU"/>
              </w:rPr>
              <w:t>достъп</w:t>
            </w:r>
            <w:proofErr w:type="spellEnd"/>
            <w:r w:rsidRPr="00F83356">
              <w:rPr>
                <w:rFonts w:ascii="Arial" w:eastAsia="Times New Roman" w:hAnsi="Arial" w:cs="Times New Roman"/>
                <w:b/>
                <w:bCs/>
                <w:sz w:val="24"/>
                <w:szCs w:val="20"/>
                <w:lang w:val="ru-RU"/>
              </w:rPr>
              <w:t xml:space="preserve">, но </w:t>
            </w:r>
            <w:proofErr w:type="spellStart"/>
            <w:r w:rsidRPr="00F83356">
              <w:rPr>
                <w:rFonts w:ascii="Arial" w:eastAsia="Times New Roman" w:hAnsi="Arial" w:cs="Times New Roman"/>
                <w:b/>
                <w:bCs/>
                <w:sz w:val="24"/>
                <w:szCs w:val="20"/>
                <w:lang w:val="ru-RU"/>
              </w:rPr>
              <w:t>енергията</w:t>
            </w:r>
            <w:proofErr w:type="spellEnd"/>
            <w:r w:rsidRPr="00F83356">
              <w:rPr>
                <w:rFonts w:ascii="Arial" w:eastAsia="Times New Roman" w:hAnsi="Arial" w:cs="Times New Roman"/>
                <w:b/>
                <w:bCs/>
                <w:sz w:val="24"/>
                <w:szCs w:val="20"/>
                <w:lang w:val="ru-RU"/>
              </w:rPr>
              <w:t xml:space="preserve"> им се </w:t>
            </w:r>
            <w:proofErr w:type="spellStart"/>
            <w:r w:rsidRPr="00F83356">
              <w:rPr>
                <w:rFonts w:ascii="Arial" w:eastAsia="Times New Roman" w:hAnsi="Arial" w:cs="Times New Roman"/>
                <w:b/>
                <w:bCs/>
                <w:sz w:val="24"/>
                <w:szCs w:val="20"/>
                <w:lang w:val="ru-RU"/>
              </w:rPr>
              <w:t>изкупува</w:t>
            </w:r>
            <w:proofErr w:type="spellEnd"/>
          </w:p>
        </w:tc>
      </w:tr>
      <w:tr w:rsidR="00F83356" w:rsidRPr="00F83356" w:rsidTr="00335835">
        <w:trPr>
          <w:trHeight w:val="956"/>
        </w:trPr>
        <w:tc>
          <w:tcPr>
            <w:tcW w:w="471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F83356" w:rsidRPr="00F83356" w:rsidRDefault="00F83356" w:rsidP="00F83356">
            <w:pPr>
              <w:spacing w:after="0" w:line="240" w:lineRule="auto"/>
              <w:rPr>
                <w:rFonts w:ascii="Arial" w:eastAsia="Times New Roman" w:hAnsi="Arial" w:cs="Times New Roman"/>
                <w:sz w:val="24"/>
                <w:szCs w:val="20"/>
              </w:rPr>
            </w:pPr>
            <w:r w:rsidRPr="00F83356">
              <w:rPr>
                <w:rFonts w:ascii="Arial" w:eastAsia="Times New Roman" w:hAnsi="Arial" w:cs="Times New Roman"/>
                <w:sz w:val="24"/>
                <w:szCs w:val="20"/>
                <w:lang w:val="bg-BG"/>
              </w:rPr>
              <w:t>„</w:t>
            </w:r>
            <w:r w:rsidRPr="00F83356">
              <w:rPr>
                <w:rFonts w:ascii="Arial" w:eastAsia="Times New Roman" w:hAnsi="Arial" w:cs="Times New Roman"/>
                <w:b/>
                <w:bCs/>
                <w:sz w:val="24"/>
                <w:szCs w:val="20"/>
                <w:lang w:val="bg-BG"/>
              </w:rPr>
              <w:t>ЧЕЗ Електроразпределение България” АД</w:t>
            </w:r>
          </w:p>
        </w:tc>
        <w:tc>
          <w:tcPr>
            <w:tcW w:w="507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F83356" w:rsidRPr="00F83356" w:rsidRDefault="00F83356" w:rsidP="00F83356">
            <w:pPr>
              <w:spacing w:after="0" w:line="240" w:lineRule="auto"/>
              <w:rPr>
                <w:rFonts w:ascii="Arial" w:eastAsia="Times New Roman" w:hAnsi="Arial" w:cs="Times New Roman"/>
                <w:sz w:val="24"/>
                <w:szCs w:val="20"/>
              </w:rPr>
            </w:pPr>
            <w:r w:rsidRPr="00F83356">
              <w:rPr>
                <w:rFonts w:ascii="Arial" w:eastAsia="Times New Roman" w:hAnsi="Arial" w:cs="Times New Roman"/>
                <w:b/>
                <w:bCs/>
                <w:sz w:val="24"/>
                <w:szCs w:val="20"/>
                <w:lang w:val="ru-RU"/>
              </w:rPr>
              <w:t xml:space="preserve">59 производители над 30 </w:t>
            </w:r>
            <w:proofErr w:type="spellStart"/>
            <w:proofErr w:type="gramStart"/>
            <w:r w:rsidRPr="00F83356">
              <w:rPr>
                <w:rFonts w:ascii="Arial" w:eastAsia="Times New Roman" w:hAnsi="Arial" w:cs="Times New Roman"/>
                <w:b/>
                <w:bCs/>
                <w:sz w:val="24"/>
                <w:szCs w:val="20"/>
                <w:lang w:val="ru-RU"/>
              </w:rPr>
              <w:t>kW</w:t>
            </w:r>
            <w:proofErr w:type="gramEnd"/>
            <w:r w:rsidRPr="00F83356">
              <w:rPr>
                <w:rFonts w:ascii="Arial" w:eastAsia="Times New Roman" w:hAnsi="Arial" w:cs="Times New Roman"/>
                <w:b/>
                <w:bCs/>
                <w:sz w:val="24"/>
                <w:szCs w:val="20"/>
                <w:lang w:val="ru-RU"/>
              </w:rPr>
              <w:t>нямат</w:t>
            </w:r>
            <w:proofErr w:type="spellEnd"/>
            <w:r w:rsidRPr="00F83356">
              <w:rPr>
                <w:rFonts w:ascii="Arial" w:eastAsia="Times New Roman" w:hAnsi="Arial" w:cs="Times New Roman"/>
                <w:b/>
                <w:bCs/>
                <w:sz w:val="24"/>
                <w:szCs w:val="20"/>
                <w:lang w:val="ru-RU"/>
              </w:rPr>
              <w:t xml:space="preserve"> договори, но </w:t>
            </w:r>
            <w:proofErr w:type="spellStart"/>
            <w:r w:rsidRPr="00F83356">
              <w:rPr>
                <w:rFonts w:ascii="Arial" w:eastAsia="Times New Roman" w:hAnsi="Arial" w:cs="Times New Roman"/>
                <w:b/>
                <w:bCs/>
                <w:sz w:val="24"/>
                <w:szCs w:val="20"/>
                <w:lang w:val="ru-RU"/>
              </w:rPr>
              <w:t>енергията</w:t>
            </w:r>
            <w:proofErr w:type="spellEnd"/>
            <w:r w:rsidRPr="00F83356">
              <w:rPr>
                <w:rFonts w:ascii="Arial" w:eastAsia="Times New Roman" w:hAnsi="Arial" w:cs="Times New Roman"/>
                <w:b/>
                <w:bCs/>
                <w:sz w:val="24"/>
                <w:szCs w:val="20"/>
                <w:lang w:val="ru-RU"/>
              </w:rPr>
              <w:t xml:space="preserve"> им се </w:t>
            </w:r>
            <w:proofErr w:type="spellStart"/>
            <w:r w:rsidRPr="00F83356">
              <w:rPr>
                <w:rFonts w:ascii="Arial" w:eastAsia="Times New Roman" w:hAnsi="Arial" w:cs="Times New Roman"/>
                <w:b/>
                <w:bCs/>
                <w:sz w:val="24"/>
                <w:szCs w:val="20"/>
                <w:lang w:val="ru-RU"/>
              </w:rPr>
              <w:t>изкупува</w:t>
            </w:r>
            <w:proofErr w:type="spellEnd"/>
            <w:r w:rsidRPr="00F83356">
              <w:rPr>
                <w:rFonts w:ascii="Arial" w:eastAsia="Times New Roman" w:hAnsi="Arial" w:cs="Times New Roman"/>
                <w:b/>
                <w:bCs/>
                <w:sz w:val="24"/>
                <w:szCs w:val="20"/>
                <w:lang w:val="ru-RU"/>
              </w:rPr>
              <w:t>.</w:t>
            </w:r>
          </w:p>
        </w:tc>
      </w:tr>
      <w:tr w:rsidR="00F83356" w:rsidRPr="00F83356" w:rsidTr="00335835">
        <w:trPr>
          <w:trHeight w:val="956"/>
        </w:trPr>
        <w:tc>
          <w:tcPr>
            <w:tcW w:w="471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F83356" w:rsidRPr="00F83356" w:rsidRDefault="00F83356" w:rsidP="00F83356">
            <w:pPr>
              <w:spacing w:after="0" w:line="240" w:lineRule="auto"/>
              <w:rPr>
                <w:rFonts w:ascii="Arial" w:eastAsia="Times New Roman" w:hAnsi="Arial" w:cs="Times New Roman"/>
                <w:sz w:val="24"/>
                <w:szCs w:val="20"/>
              </w:rPr>
            </w:pPr>
            <w:r w:rsidRPr="00F83356">
              <w:rPr>
                <w:rFonts w:ascii="Arial" w:eastAsia="Times New Roman" w:hAnsi="Arial" w:cs="Times New Roman"/>
                <w:b/>
                <w:bCs/>
                <w:sz w:val="24"/>
                <w:szCs w:val="20"/>
                <w:lang w:val="bg-BG"/>
              </w:rPr>
              <w:t>„ЕВН България Електроразпределение” ЕАД</w:t>
            </w:r>
          </w:p>
        </w:tc>
        <w:tc>
          <w:tcPr>
            <w:tcW w:w="507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F83356" w:rsidRPr="00F83356" w:rsidRDefault="00F83356" w:rsidP="00F83356">
            <w:pPr>
              <w:spacing w:after="0" w:line="240" w:lineRule="auto"/>
              <w:rPr>
                <w:rFonts w:ascii="Arial" w:eastAsia="Times New Roman" w:hAnsi="Arial" w:cs="Times New Roman"/>
                <w:sz w:val="24"/>
                <w:szCs w:val="20"/>
              </w:rPr>
            </w:pPr>
            <w:r w:rsidRPr="00F83356">
              <w:rPr>
                <w:rFonts w:ascii="Arial" w:eastAsia="Times New Roman" w:hAnsi="Arial" w:cs="Times New Roman"/>
                <w:b/>
                <w:bCs/>
                <w:sz w:val="24"/>
                <w:szCs w:val="20"/>
                <w:lang w:val="ru-RU"/>
              </w:rPr>
              <w:t xml:space="preserve">3 централи </w:t>
            </w:r>
            <w:proofErr w:type="spellStart"/>
            <w:r w:rsidRPr="00F83356">
              <w:rPr>
                <w:rFonts w:ascii="Arial" w:eastAsia="Times New Roman" w:hAnsi="Arial" w:cs="Times New Roman"/>
                <w:b/>
                <w:bCs/>
                <w:sz w:val="24"/>
                <w:szCs w:val="20"/>
                <w:lang w:val="ru-RU"/>
              </w:rPr>
              <w:t>нямат</w:t>
            </w:r>
            <w:proofErr w:type="spellEnd"/>
            <w:r w:rsidRPr="00F83356">
              <w:rPr>
                <w:rFonts w:ascii="Arial" w:eastAsia="Times New Roman" w:hAnsi="Arial" w:cs="Times New Roman"/>
                <w:b/>
                <w:bCs/>
                <w:sz w:val="24"/>
                <w:szCs w:val="20"/>
                <w:lang w:val="ru-RU"/>
              </w:rPr>
              <w:t xml:space="preserve"> договори, </w:t>
            </w:r>
            <w:proofErr w:type="spellStart"/>
            <w:r w:rsidRPr="00F83356">
              <w:rPr>
                <w:rFonts w:ascii="Arial" w:eastAsia="Times New Roman" w:hAnsi="Arial" w:cs="Times New Roman"/>
                <w:b/>
                <w:bCs/>
                <w:sz w:val="24"/>
                <w:szCs w:val="20"/>
                <w:lang w:val="ru-RU"/>
              </w:rPr>
              <w:t>катодостапът</w:t>
            </w:r>
            <w:proofErr w:type="spellEnd"/>
            <w:r w:rsidRPr="00F83356">
              <w:rPr>
                <w:rFonts w:ascii="Arial" w:eastAsia="Times New Roman" w:hAnsi="Arial" w:cs="Times New Roman"/>
                <w:b/>
                <w:bCs/>
                <w:sz w:val="24"/>
                <w:szCs w:val="20"/>
                <w:lang w:val="ru-RU"/>
              </w:rPr>
              <w:t xml:space="preserve"> им до </w:t>
            </w:r>
            <w:proofErr w:type="spellStart"/>
            <w:r w:rsidRPr="00F83356">
              <w:rPr>
                <w:rFonts w:ascii="Arial" w:eastAsia="Times New Roman" w:hAnsi="Arial" w:cs="Times New Roman"/>
                <w:b/>
                <w:bCs/>
                <w:sz w:val="24"/>
                <w:szCs w:val="20"/>
                <w:lang w:val="ru-RU"/>
              </w:rPr>
              <w:t>мрежата</w:t>
            </w:r>
            <w:proofErr w:type="spellEnd"/>
            <w:r w:rsidRPr="00F83356">
              <w:rPr>
                <w:rFonts w:ascii="Arial" w:eastAsia="Times New Roman" w:hAnsi="Arial" w:cs="Times New Roman"/>
                <w:b/>
                <w:bCs/>
                <w:sz w:val="24"/>
                <w:szCs w:val="20"/>
                <w:lang w:val="ru-RU"/>
              </w:rPr>
              <w:t xml:space="preserve"> е бил </w:t>
            </w:r>
            <w:proofErr w:type="spellStart"/>
            <w:r w:rsidRPr="00F83356">
              <w:rPr>
                <w:rFonts w:ascii="Arial" w:eastAsia="Times New Roman" w:hAnsi="Arial" w:cs="Times New Roman"/>
                <w:b/>
                <w:bCs/>
                <w:sz w:val="24"/>
                <w:szCs w:val="20"/>
                <w:lang w:val="ru-RU"/>
              </w:rPr>
              <w:t>преустановен</w:t>
            </w:r>
            <w:proofErr w:type="spellEnd"/>
            <w:r w:rsidRPr="00F83356">
              <w:rPr>
                <w:rFonts w:ascii="Arial" w:eastAsia="Times New Roman" w:hAnsi="Arial" w:cs="Times New Roman"/>
                <w:b/>
                <w:bCs/>
                <w:sz w:val="24"/>
                <w:szCs w:val="20"/>
                <w:lang w:val="ru-RU"/>
              </w:rPr>
              <w:tab/>
            </w:r>
          </w:p>
        </w:tc>
      </w:tr>
    </w:tbl>
    <w:p w:rsidR="00F83356" w:rsidRPr="00F83356" w:rsidRDefault="00F83356" w:rsidP="00F83356">
      <w:pPr>
        <w:spacing w:after="0" w:line="240" w:lineRule="auto"/>
        <w:ind w:firstLine="708"/>
        <w:jc w:val="both"/>
        <w:rPr>
          <w:rFonts w:ascii="Times New Roman" w:eastAsia="Times New Roman" w:hAnsi="Times New Roman" w:cs="Times New Roman"/>
          <w:b/>
          <w:color w:val="000000"/>
          <w:sz w:val="28"/>
          <w:szCs w:val="28"/>
          <w:lang w:val="bg-BG"/>
        </w:rPr>
      </w:pPr>
      <w:r w:rsidRPr="00F83356">
        <w:rPr>
          <w:rFonts w:ascii="Times New Roman" w:eastAsia="Times New Roman" w:hAnsi="Times New Roman" w:cs="Times New Roman"/>
          <w:b/>
          <w:color w:val="000000"/>
          <w:sz w:val="28"/>
          <w:szCs w:val="28"/>
          <w:u w:val="single"/>
          <w:lang w:val="bg-BG"/>
        </w:rPr>
        <w:t>5.</w:t>
      </w:r>
      <w:proofErr w:type="spellStart"/>
      <w:r w:rsidRPr="00F83356">
        <w:rPr>
          <w:rFonts w:ascii="Times New Roman" w:eastAsia="Times New Roman" w:hAnsi="Times New Roman" w:cs="Times New Roman"/>
          <w:b/>
          <w:color w:val="000000"/>
          <w:sz w:val="28"/>
          <w:szCs w:val="28"/>
          <w:u w:val="single"/>
          <w:lang w:val="bg-BG"/>
        </w:rPr>
        <w:t>5</w:t>
      </w:r>
      <w:proofErr w:type="spellEnd"/>
      <w:r w:rsidRPr="00F83356">
        <w:rPr>
          <w:rFonts w:ascii="Times New Roman" w:eastAsia="Times New Roman" w:hAnsi="Times New Roman" w:cs="Times New Roman"/>
          <w:b/>
          <w:color w:val="000000"/>
          <w:sz w:val="28"/>
          <w:szCs w:val="28"/>
          <w:u w:val="single"/>
          <w:lang w:val="bg-BG"/>
        </w:rPr>
        <w:t>.</w:t>
      </w:r>
      <w:r w:rsidRPr="00F83356">
        <w:rPr>
          <w:rFonts w:ascii="Times New Roman" w:eastAsia="Times New Roman" w:hAnsi="Times New Roman" w:cs="Times New Roman"/>
          <w:sz w:val="28"/>
          <w:szCs w:val="28"/>
          <w:lang w:val="bg-BG"/>
        </w:rPr>
        <w:t xml:space="preserve"> </w:t>
      </w:r>
      <w:r w:rsidRPr="00F83356">
        <w:rPr>
          <w:rFonts w:ascii="Times New Roman" w:eastAsia="Times New Roman" w:hAnsi="Times New Roman" w:cs="Times New Roman"/>
          <w:b/>
          <w:color w:val="000000"/>
          <w:sz w:val="28"/>
          <w:szCs w:val="28"/>
          <w:lang w:val="bg-BG"/>
        </w:rPr>
        <w:t xml:space="preserve">Текстът на чл. 31, ал.5 от ЗЕВИ </w:t>
      </w:r>
      <w:r w:rsidRPr="00F83356">
        <w:rPr>
          <w:rFonts w:ascii="Times New Roman" w:eastAsia="Times New Roman" w:hAnsi="Times New Roman" w:cs="Times New Roman"/>
          <w:color w:val="000000"/>
          <w:sz w:val="28"/>
          <w:szCs w:val="28"/>
          <w:lang w:val="bg-BG"/>
        </w:rPr>
        <w:t>предполага изкупуване на 100% от произведената ел. енергия, но от тях по преференциална цена само количеството "електрическа енергия до размера на определената средногодишна продължителност на работа, съгласно решението на КЕВР за определяне на цена на конкретния производител", а остатъкът по цена на обществен доставчик. Така описаният подход създава допълнителна предпоставка за гарантиране на необходимия паричен поток на производителите, като отчита и  продажбите по цена на обществен доставчик.</w:t>
      </w:r>
    </w:p>
    <w:p w:rsidR="00F83356" w:rsidRPr="00F83356" w:rsidRDefault="00F83356" w:rsidP="00F83356">
      <w:pPr>
        <w:spacing w:after="0" w:line="240" w:lineRule="auto"/>
        <w:ind w:firstLine="708"/>
        <w:jc w:val="both"/>
        <w:rPr>
          <w:rFonts w:ascii="Times New Roman" w:eastAsia="Times New Roman" w:hAnsi="Times New Roman" w:cs="Times New Roman"/>
          <w:b/>
          <w:color w:val="000000"/>
          <w:sz w:val="28"/>
          <w:szCs w:val="28"/>
          <w:lang w:val="bg-BG"/>
        </w:rPr>
      </w:pPr>
      <w:r w:rsidRPr="00F83356">
        <w:rPr>
          <w:rFonts w:ascii="Times New Roman" w:eastAsia="Times New Roman" w:hAnsi="Times New Roman" w:cs="Times New Roman"/>
          <w:b/>
          <w:color w:val="000000"/>
          <w:sz w:val="28"/>
          <w:szCs w:val="28"/>
          <w:lang w:val="bg-BG"/>
        </w:rPr>
        <w:t xml:space="preserve">Въпреки това се констатира масово изкупуване от страна на крайните снабдители на количества електрическа енергия над „средногодишна продължителност на работа, съгласно решението на КЕВР за определяне на цена на конкретния производител“ на преференциална цена. Същото се явява нарушение на цитираната разпоредба и води до неправомерно заплащане на по-високата цена, вместо цената на обществен доставчик и </w:t>
      </w:r>
      <w:proofErr w:type="spellStart"/>
      <w:r w:rsidRPr="00F83356">
        <w:rPr>
          <w:rFonts w:ascii="Times New Roman" w:eastAsia="Times New Roman" w:hAnsi="Times New Roman" w:cs="Times New Roman"/>
          <w:b/>
          <w:color w:val="000000"/>
          <w:sz w:val="28"/>
          <w:szCs w:val="28"/>
          <w:lang w:val="bg-BG"/>
        </w:rPr>
        <w:t>облагодетелствува</w:t>
      </w:r>
      <w:proofErr w:type="spellEnd"/>
      <w:r w:rsidRPr="00F83356">
        <w:rPr>
          <w:rFonts w:ascii="Times New Roman" w:eastAsia="Times New Roman" w:hAnsi="Times New Roman" w:cs="Times New Roman"/>
          <w:b/>
          <w:color w:val="000000"/>
          <w:sz w:val="28"/>
          <w:szCs w:val="28"/>
          <w:lang w:val="bg-BG"/>
        </w:rPr>
        <w:t xml:space="preserve"> отделни ВЕИ производители. Само за последния период 29.05.2014-29.05.2015г. ДКЕВР определя за изкупуване над квотата 1,250 279 </w:t>
      </w:r>
      <w:proofErr w:type="spellStart"/>
      <w:r w:rsidRPr="00F83356">
        <w:rPr>
          <w:rFonts w:ascii="Times New Roman" w:eastAsia="Times New Roman" w:hAnsi="Times New Roman" w:cs="Times New Roman"/>
          <w:b/>
          <w:color w:val="000000"/>
          <w:sz w:val="28"/>
          <w:szCs w:val="28"/>
          <w:lang w:val="bg-BG"/>
        </w:rPr>
        <w:t>МВтч</w:t>
      </w:r>
      <w:proofErr w:type="spellEnd"/>
      <w:r w:rsidRPr="00F83356">
        <w:rPr>
          <w:rFonts w:ascii="Times New Roman" w:eastAsia="Times New Roman" w:hAnsi="Times New Roman" w:cs="Times New Roman"/>
          <w:b/>
          <w:color w:val="000000"/>
          <w:sz w:val="28"/>
          <w:szCs w:val="28"/>
          <w:lang w:val="bg-BG"/>
        </w:rPr>
        <w:t xml:space="preserve"> – почти колкото от ТЕЦ „Марица-изток 2” ЕАД, за което са заплатени </w:t>
      </w:r>
      <w:proofErr w:type="spellStart"/>
      <w:r w:rsidRPr="00F83356">
        <w:rPr>
          <w:rFonts w:ascii="Times New Roman" w:eastAsia="Times New Roman" w:hAnsi="Times New Roman" w:cs="Times New Roman"/>
          <w:b/>
          <w:color w:val="000000"/>
          <w:sz w:val="28"/>
          <w:szCs w:val="28"/>
          <w:lang w:val="bg-BG"/>
        </w:rPr>
        <w:t>заплатени</w:t>
      </w:r>
      <w:proofErr w:type="spellEnd"/>
      <w:r w:rsidRPr="00F83356">
        <w:rPr>
          <w:rFonts w:ascii="Times New Roman" w:eastAsia="Times New Roman" w:hAnsi="Times New Roman" w:cs="Times New Roman"/>
          <w:b/>
          <w:color w:val="000000"/>
          <w:sz w:val="28"/>
          <w:szCs w:val="28"/>
          <w:lang w:val="bg-BG"/>
        </w:rPr>
        <w:t xml:space="preserve"> над 416  мил. лв. (решение № ТЕ-023/29.05.2014г.)</w:t>
      </w:r>
    </w:p>
    <w:p w:rsidR="009837C9" w:rsidRPr="009837C9" w:rsidRDefault="009837C9" w:rsidP="009837C9">
      <w:pPr>
        <w:spacing w:after="0" w:line="240" w:lineRule="auto"/>
        <w:ind w:firstLine="708"/>
        <w:jc w:val="both"/>
        <w:rPr>
          <w:rFonts w:ascii="Times New Roman" w:eastAsia="Times New Roman" w:hAnsi="Times New Roman" w:cs="Times New Roman"/>
          <w:b/>
          <w:color w:val="000000"/>
          <w:sz w:val="28"/>
          <w:szCs w:val="28"/>
          <w:lang w:val="bg-BG"/>
        </w:rPr>
      </w:pPr>
      <w:r w:rsidRPr="009837C9">
        <w:rPr>
          <w:rFonts w:ascii="Times New Roman" w:eastAsia="Times New Roman" w:hAnsi="Times New Roman" w:cs="Times New Roman"/>
          <w:b/>
          <w:color w:val="000000"/>
          <w:sz w:val="28"/>
          <w:szCs w:val="28"/>
          <w:u w:val="single"/>
          <w:lang w:val="bg-BG"/>
        </w:rPr>
        <w:t>5.6.</w:t>
      </w:r>
      <w:r w:rsidRPr="009837C9">
        <w:rPr>
          <w:rFonts w:ascii="Times New Roman" w:eastAsia="Times New Roman" w:hAnsi="Times New Roman" w:cs="Times New Roman"/>
          <w:color w:val="000000"/>
          <w:sz w:val="28"/>
          <w:szCs w:val="28"/>
          <w:lang w:val="bg-BG"/>
        </w:rPr>
        <w:t xml:space="preserve"> С писмо с изх. № Е-13-01-113/19. 03. 2015 г. г-жа Светла Тодорова (към този момент все още председател на ДКЕВР) еднолично, изземвайки функциите на колективния орган, сама се е произнесла с указания към НЕК и </w:t>
      </w:r>
      <w:proofErr w:type="spellStart"/>
      <w:r w:rsidRPr="009837C9">
        <w:rPr>
          <w:rFonts w:ascii="Times New Roman" w:eastAsia="Times New Roman" w:hAnsi="Times New Roman" w:cs="Times New Roman"/>
          <w:color w:val="000000"/>
          <w:sz w:val="28"/>
          <w:szCs w:val="28"/>
          <w:lang w:val="bg-BG"/>
        </w:rPr>
        <w:t>ЕРП-тата</w:t>
      </w:r>
      <w:proofErr w:type="spellEnd"/>
      <w:r w:rsidRPr="009837C9">
        <w:rPr>
          <w:rFonts w:ascii="Times New Roman" w:eastAsia="Times New Roman" w:hAnsi="Times New Roman" w:cs="Times New Roman"/>
          <w:color w:val="000000"/>
          <w:sz w:val="28"/>
          <w:szCs w:val="28"/>
          <w:lang w:val="bg-BG"/>
        </w:rPr>
        <w:t xml:space="preserve"> по въпроса за цените на енергията за технологични разходи в размер над определения в решението на ДКЕВР. Г-жа Тодорова указва на НЕК, че следва да продължи да доставя на операторите на мрежи енергия за технологични разходи, по най-ниски цени, въпреки че въпросните разходи са над максимално допустимите. </w:t>
      </w:r>
      <w:r w:rsidRPr="009837C9">
        <w:rPr>
          <w:rFonts w:ascii="Times New Roman" w:eastAsia="Times New Roman" w:hAnsi="Times New Roman" w:cs="Times New Roman"/>
          <w:b/>
          <w:color w:val="000000"/>
          <w:sz w:val="28"/>
          <w:szCs w:val="28"/>
          <w:lang w:val="bg-BG"/>
        </w:rPr>
        <w:t xml:space="preserve">По този начин на практика еднолично се увеличава размера на технологичните разходи заплащани по ниски цени, </w:t>
      </w:r>
      <w:r w:rsidRPr="009837C9">
        <w:rPr>
          <w:rFonts w:ascii="Times New Roman" w:eastAsia="Times New Roman" w:hAnsi="Times New Roman" w:cs="Times New Roman"/>
          <w:b/>
          <w:color w:val="000000"/>
          <w:sz w:val="28"/>
          <w:szCs w:val="28"/>
          <w:lang w:val="bg-BG"/>
        </w:rPr>
        <w:lastRenderedPageBreak/>
        <w:t>като се причинява щети на обществения доставчик НЕК ЕАД. Финансовите загуби на НЕК ЕАД от това са в размер на 52 264 хил. лв.</w:t>
      </w:r>
    </w:p>
    <w:p w:rsidR="009837C9" w:rsidRPr="009837C9" w:rsidRDefault="009837C9" w:rsidP="009837C9">
      <w:pPr>
        <w:spacing w:after="0" w:line="240" w:lineRule="auto"/>
        <w:ind w:firstLine="851"/>
        <w:rPr>
          <w:rFonts w:ascii="Times New Roman" w:eastAsia="Times New Roman" w:hAnsi="Times New Roman" w:cs="Times New Roman"/>
          <w:b/>
          <w:i/>
          <w:color w:val="000000"/>
          <w:sz w:val="28"/>
          <w:szCs w:val="28"/>
          <w:lang w:val="bg-BG"/>
        </w:rPr>
      </w:pPr>
      <w:proofErr w:type="spellStart"/>
      <w:r w:rsidRPr="009837C9">
        <w:rPr>
          <w:rFonts w:ascii="Times New Roman" w:eastAsia="Times New Roman" w:hAnsi="Times New Roman" w:cs="Times New Roman"/>
          <w:b/>
          <w:color w:val="000000"/>
          <w:sz w:val="28"/>
          <w:szCs w:val="28"/>
          <w:lang w:val="bg-BG"/>
        </w:rPr>
        <w:t>Предлатаме</w:t>
      </w:r>
      <w:proofErr w:type="spellEnd"/>
      <w:r w:rsidRPr="009837C9">
        <w:rPr>
          <w:rFonts w:ascii="Times New Roman" w:eastAsia="Times New Roman" w:hAnsi="Times New Roman" w:cs="Times New Roman"/>
          <w:b/>
          <w:color w:val="000000"/>
          <w:sz w:val="28"/>
          <w:szCs w:val="28"/>
          <w:lang w:val="bg-BG"/>
        </w:rPr>
        <w:t xml:space="preserve"> така описаната информация да бъде изпратена на прокуратурата по компетентност</w:t>
      </w:r>
    </w:p>
    <w:p w:rsidR="009837C9" w:rsidRPr="009837C9" w:rsidRDefault="009837C9" w:rsidP="009837C9">
      <w:pPr>
        <w:spacing w:after="0" w:line="240" w:lineRule="auto"/>
        <w:ind w:firstLine="851"/>
        <w:rPr>
          <w:rFonts w:ascii="Times New Roman" w:eastAsia="Times New Roman" w:hAnsi="Times New Roman" w:cs="Times New Roman"/>
          <w:b/>
          <w:i/>
          <w:color w:val="000000"/>
          <w:sz w:val="28"/>
          <w:szCs w:val="28"/>
          <w:lang w:val="bg-BG"/>
        </w:rPr>
      </w:pPr>
    </w:p>
    <w:p w:rsidR="009837C9" w:rsidRPr="009837C9" w:rsidRDefault="009837C9" w:rsidP="009837C9">
      <w:pPr>
        <w:spacing w:after="0" w:line="240" w:lineRule="auto"/>
        <w:ind w:left="720" w:firstLine="708"/>
        <w:jc w:val="both"/>
        <w:rPr>
          <w:rFonts w:ascii="Times New Roman" w:eastAsia="Times New Roman" w:hAnsi="Times New Roman" w:cs="Times New Roman"/>
          <w:b/>
          <w:color w:val="000000"/>
          <w:sz w:val="28"/>
          <w:szCs w:val="28"/>
          <w:u w:val="single"/>
          <w:lang w:val="bg-BG"/>
        </w:rPr>
      </w:pPr>
      <w:r w:rsidRPr="009837C9">
        <w:rPr>
          <w:rFonts w:ascii="Times New Roman" w:eastAsia="Times New Roman" w:hAnsi="Times New Roman" w:cs="Times New Roman"/>
          <w:b/>
          <w:color w:val="000000"/>
          <w:sz w:val="28"/>
          <w:szCs w:val="28"/>
          <w:u w:val="single"/>
          <w:lang w:val="bg-BG"/>
        </w:rPr>
        <w:t xml:space="preserve">Допуснати нарушения от Държавните институции: </w:t>
      </w:r>
    </w:p>
    <w:p w:rsidR="009837C9" w:rsidRPr="009837C9" w:rsidRDefault="009837C9" w:rsidP="009837C9">
      <w:pPr>
        <w:spacing w:after="0" w:line="240" w:lineRule="auto"/>
        <w:ind w:left="720" w:firstLine="708"/>
        <w:jc w:val="both"/>
        <w:rPr>
          <w:rFonts w:ascii="Times New Roman" w:eastAsia="Times New Roman" w:hAnsi="Times New Roman" w:cs="Times New Roman"/>
          <w:color w:val="000000"/>
          <w:sz w:val="28"/>
          <w:szCs w:val="28"/>
          <w:lang w:val="bg-BG"/>
        </w:rPr>
      </w:pPr>
    </w:p>
    <w:p w:rsidR="009837C9" w:rsidRPr="009837C9" w:rsidRDefault="009837C9" w:rsidP="009837C9">
      <w:pPr>
        <w:spacing w:after="0" w:line="240" w:lineRule="auto"/>
        <w:ind w:firstLine="1428"/>
        <w:jc w:val="both"/>
        <w:rPr>
          <w:rFonts w:ascii="Times New Roman" w:eastAsia="Times New Roman" w:hAnsi="Times New Roman" w:cs="Times New Roman"/>
          <w:color w:val="000000"/>
          <w:sz w:val="28"/>
          <w:szCs w:val="28"/>
          <w:lang w:val="bg-BG"/>
        </w:rPr>
      </w:pPr>
      <w:r w:rsidRPr="009837C9">
        <w:rPr>
          <w:rFonts w:ascii="Times New Roman" w:eastAsia="Times New Roman" w:hAnsi="Times New Roman" w:cs="Times New Roman"/>
          <w:color w:val="000000"/>
          <w:sz w:val="28"/>
          <w:szCs w:val="28"/>
          <w:lang w:val="bg-BG"/>
        </w:rPr>
        <w:t xml:space="preserve">1. Длъжностните лица от ДКЕВР не са съставили АУАН за непредоставянето на искана информация за присъединяване на 1044 ВЕИ-та изградени на територията на „ЕВН България </w:t>
      </w:r>
      <w:proofErr w:type="spellStart"/>
      <w:r w:rsidRPr="009837C9">
        <w:rPr>
          <w:rFonts w:ascii="Times New Roman" w:eastAsia="Times New Roman" w:hAnsi="Times New Roman" w:cs="Times New Roman"/>
          <w:color w:val="000000"/>
          <w:sz w:val="28"/>
          <w:szCs w:val="28"/>
          <w:lang w:val="bg-BG"/>
        </w:rPr>
        <w:t>електроразпределние</w:t>
      </w:r>
      <w:proofErr w:type="spellEnd"/>
      <w:r w:rsidRPr="009837C9">
        <w:rPr>
          <w:rFonts w:ascii="Times New Roman" w:eastAsia="Times New Roman" w:hAnsi="Times New Roman" w:cs="Times New Roman"/>
          <w:color w:val="000000"/>
          <w:sz w:val="28"/>
          <w:szCs w:val="28"/>
          <w:lang w:val="bg-BG"/>
        </w:rPr>
        <w:t>” ЕАД въпреки съществуващата правна възможност за това в чл. 206, ал.1 от Закона за енергетиката.</w:t>
      </w:r>
    </w:p>
    <w:p w:rsidR="009837C9" w:rsidRPr="009837C9" w:rsidRDefault="009837C9" w:rsidP="009837C9">
      <w:pPr>
        <w:spacing w:after="0" w:line="240" w:lineRule="auto"/>
        <w:ind w:firstLine="1428"/>
        <w:jc w:val="both"/>
        <w:rPr>
          <w:rFonts w:ascii="Times New Roman" w:eastAsia="Times New Roman" w:hAnsi="Times New Roman" w:cs="Times New Roman"/>
          <w:b/>
          <w:color w:val="000000"/>
          <w:sz w:val="28"/>
          <w:szCs w:val="28"/>
          <w:lang w:val="bg-BG"/>
        </w:rPr>
      </w:pPr>
      <w:r w:rsidRPr="009837C9">
        <w:rPr>
          <w:rFonts w:ascii="Times New Roman" w:eastAsia="Times New Roman" w:hAnsi="Times New Roman" w:cs="Times New Roman"/>
          <w:color w:val="000000"/>
          <w:sz w:val="28"/>
          <w:szCs w:val="28"/>
          <w:lang w:val="bg-BG"/>
        </w:rPr>
        <w:t xml:space="preserve">Това обстоятелство поставя дружеството, което единствено не е дало исканата информация в привилегировано положение спрямо другите две. </w:t>
      </w:r>
      <w:r w:rsidRPr="009837C9">
        <w:rPr>
          <w:rFonts w:ascii="Times New Roman" w:eastAsia="Times New Roman" w:hAnsi="Times New Roman" w:cs="Times New Roman"/>
          <w:b/>
          <w:color w:val="000000"/>
          <w:sz w:val="28"/>
          <w:szCs w:val="28"/>
          <w:lang w:val="bg-BG"/>
        </w:rPr>
        <w:t>Предстои Прокуратурата да изясни мотивите за подобно поведение и за липсата на административно-наказателни последици от него.</w:t>
      </w:r>
    </w:p>
    <w:p w:rsidR="009837C9" w:rsidRPr="009837C9" w:rsidRDefault="009837C9" w:rsidP="009837C9">
      <w:pPr>
        <w:spacing w:after="0" w:line="240" w:lineRule="auto"/>
        <w:ind w:firstLine="1428"/>
        <w:jc w:val="both"/>
        <w:rPr>
          <w:rFonts w:ascii="Times New Roman" w:eastAsia="Times New Roman" w:hAnsi="Times New Roman" w:cs="Times New Roman"/>
          <w:color w:val="000000"/>
          <w:sz w:val="28"/>
          <w:szCs w:val="28"/>
          <w:lang w:val="bg-BG"/>
        </w:rPr>
      </w:pPr>
    </w:p>
    <w:p w:rsidR="009837C9" w:rsidRPr="009837C9" w:rsidRDefault="009837C9" w:rsidP="009837C9">
      <w:pPr>
        <w:spacing w:after="0" w:line="240" w:lineRule="auto"/>
        <w:ind w:firstLine="1428"/>
        <w:jc w:val="both"/>
        <w:rPr>
          <w:rFonts w:ascii="Times New Roman" w:eastAsia="Times New Roman" w:hAnsi="Times New Roman" w:cs="Times New Roman"/>
          <w:color w:val="000000"/>
          <w:sz w:val="28"/>
          <w:szCs w:val="28"/>
          <w:lang w:val="bg-BG"/>
        </w:rPr>
      </w:pPr>
      <w:r w:rsidRPr="009837C9">
        <w:rPr>
          <w:rFonts w:ascii="Times New Roman" w:eastAsia="Times New Roman" w:hAnsi="Times New Roman" w:cs="Times New Roman"/>
          <w:b/>
          <w:color w:val="000000"/>
          <w:sz w:val="28"/>
          <w:szCs w:val="28"/>
          <w:lang w:val="bg-BG"/>
        </w:rPr>
        <w:t xml:space="preserve">2. </w:t>
      </w:r>
      <w:r w:rsidRPr="009837C9">
        <w:rPr>
          <w:rFonts w:ascii="Times New Roman" w:eastAsia="Times New Roman" w:hAnsi="Times New Roman" w:cs="Times New Roman"/>
          <w:color w:val="000000"/>
          <w:sz w:val="28"/>
          <w:szCs w:val="28"/>
          <w:lang w:val="bg-BG"/>
        </w:rPr>
        <w:t>По отношение на нарушения от страна на електроразпределителните дружества и ВЕИ производители в процеса на присъединяването на централите:</w:t>
      </w:r>
    </w:p>
    <w:p w:rsidR="009837C9" w:rsidRPr="009837C9" w:rsidRDefault="009837C9" w:rsidP="009837C9">
      <w:pPr>
        <w:spacing w:after="0" w:line="240" w:lineRule="auto"/>
        <w:ind w:firstLine="1428"/>
        <w:jc w:val="both"/>
        <w:rPr>
          <w:rFonts w:ascii="Times New Roman" w:eastAsia="Times New Roman" w:hAnsi="Times New Roman" w:cs="Times New Roman"/>
          <w:color w:val="000000"/>
          <w:sz w:val="28"/>
          <w:szCs w:val="28"/>
          <w:lang w:val="bg-BG"/>
        </w:rPr>
      </w:pPr>
      <w:r w:rsidRPr="009837C9">
        <w:rPr>
          <w:rFonts w:ascii="Times New Roman" w:eastAsia="Times New Roman" w:hAnsi="Times New Roman" w:cs="Times New Roman"/>
          <w:color w:val="000000"/>
          <w:sz w:val="28"/>
          <w:szCs w:val="28"/>
          <w:lang w:val="bg-BG"/>
        </w:rPr>
        <w:t>2.1.</w:t>
      </w:r>
      <w:r w:rsidRPr="009837C9">
        <w:rPr>
          <w:rFonts w:ascii="Times New Roman" w:eastAsia="Times New Roman" w:hAnsi="Times New Roman" w:cs="Times New Roman"/>
          <w:b/>
          <w:color w:val="000000"/>
          <w:sz w:val="28"/>
          <w:szCs w:val="28"/>
          <w:lang w:val="bg-BG"/>
        </w:rPr>
        <w:t>Липса на контрол от Министъра на енергетиката, ДНСК и ДКЕВР по отношение спазването на Наредба №6</w:t>
      </w:r>
      <w:r w:rsidRPr="009837C9">
        <w:rPr>
          <w:rFonts w:ascii="Times New Roman" w:eastAsia="Times New Roman" w:hAnsi="Times New Roman" w:cs="Times New Roman"/>
          <w:color w:val="000000"/>
          <w:sz w:val="28"/>
          <w:szCs w:val="28"/>
          <w:lang w:val="bg-BG"/>
        </w:rPr>
        <w:t xml:space="preserve"> за присъединяване към </w:t>
      </w:r>
      <w:proofErr w:type="spellStart"/>
      <w:r w:rsidRPr="009837C9">
        <w:rPr>
          <w:rFonts w:ascii="Times New Roman" w:eastAsia="Times New Roman" w:hAnsi="Times New Roman" w:cs="Times New Roman"/>
          <w:color w:val="000000"/>
          <w:sz w:val="28"/>
          <w:szCs w:val="28"/>
          <w:lang w:val="bg-BG"/>
        </w:rPr>
        <w:t>елекроразпределителната</w:t>
      </w:r>
      <w:proofErr w:type="spellEnd"/>
      <w:r w:rsidRPr="009837C9">
        <w:rPr>
          <w:rFonts w:ascii="Times New Roman" w:eastAsia="Times New Roman" w:hAnsi="Times New Roman" w:cs="Times New Roman"/>
          <w:color w:val="000000"/>
          <w:sz w:val="28"/>
          <w:szCs w:val="28"/>
          <w:lang w:val="bg-BG"/>
        </w:rPr>
        <w:t xml:space="preserve"> мрежа, съответно в редакцията на чл. 116, ал.7 от ЗЕ преди промяната от 07. 07.2012 и след това – Таблица 1 и Таблица 2.</w:t>
      </w:r>
    </w:p>
    <w:p w:rsidR="009837C9" w:rsidRPr="009837C9" w:rsidRDefault="009837C9" w:rsidP="009837C9">
      <w:pPr>
        <w:spacing w:after="0" w:line="240" w:lineRule="auto"/>
        <w:ind w:firstLine="1428"/>
        <w:jc w:val="both"/>
        <w:rPr>
          <w:rFonts w:ascii="Times New Roman" w:eastAsia="Times New Roman" w:hAnsi="Times New Roman" w:cs="Times New Roman"/>
          <w:color w:val="000000"/>
          <w:sz w:val="28"/>
          <w:szCs w:val="28"/>
          <w:lang w:val="bg-BG"/>
        </w:rPr>
      </w:pPr>
      <w:r w:rsidRPr="009837C9">
        <w:rPr>
          <w:rFonts w:ascii="Times New Roman" w:eastAsia="Times New Roman" w:hAnsi="Times New Roman" w:cs="Times New Roman"/>
          <w:color w:val="000000"/>
          <w:sz w:val="28"/>
          <w:szCs w:val="28"/>
          <w:lang w:val="bg-BG"/>
        </w:rPr>
        <w:t>2.</w:t>
      </w:r>
      <w:proofErr w:type="spellStart"/>
      <w:r w:rsidRPr="009837C9">
        <w:rPr>
          <w:rFonts w:ascii="Times New Roman" w:eastAsia="Times New Roman" w:hAnsi="Times New Roman" w:cs="Times New Roman"/>
          <w:color w:val="000000"/>
          <w:sz w:val="28"/>
          <w:szCs w:val="28"/>
          <w:lang w:val="bg-BG"/>
        </w:rPr>
        <w:t>2</w:t>
      </w:r>
      <w:proofErr w:type="spellEnd"/>
      <w:r w:rsidRPr="009837C9">
        <w:rPr>
          <w:rFonts w:ascii="Times New Roman" w:eastAsia="Times New Roman" w:hAnsi="Times New Roman" w:cs="Times New Roman"/>
          <w:color w:val="000000"/>
          <w:sz w:val="28"/>
          <w:szCs w:val="28"/>
          <w:lang w:val="bg-BG"/>
        </w:rPr>
        <w:t xml:space="preserve">.Длъжностните лица от ДКЕВР в процеса на проверката </w:t>
      </w:r>
      <w:r w:rsidRPr="009837C9">
        <w:rPr>
          <w:rFonts w:ascii="Times New Roman" w:eastAsia="Times New Roman" w:hAnsi="Times New Roman" w:cs="Times New Roman"/>
          <w:b/>
          <w:color w:val="000000"/>
          <w:sz w:val="28"/>
          <w:szCs w:val="28"/>
          <w:lang w:val="bg-BG"/>
        </w:rPr>
        <w:t>само са констатирали нарушенията в докладите си, без за тях да са съставени АУАН от страна на компетентните длъжностни лиц</w:t>
      </w:r>
      <w:r w:rsidRPr="009837C9">
        <w:rPr>
          <w:rFonts w:ascii="Times New Roman" w:eastAsia="Times New Roman" w:hAnsi="Times New Roman" w:cs="Times New Roman"/>
          <w:color w:val="000000"/>
          <w:sz w:val="28"/>
          <w:szCs w:val="28"/>
          <w:lang w:val="bg-BG"/>
        </w:rPr>
        <w:t>а.</w:t>
      </w:r>
    </w:p>
    <w:p w:rsidR="009837C9" w:rsidRPr="009837C9" w:rsidRDefault="009837C9" w:rsidP="009837C9">
      <w:pPr>
        <w:spacing w:after="0" w:line="240" w:lineRule="auto"/>
        <w:ind w:firstLine="1428"/>
        <w:jc w:val="both"/>
        <w:rPr>
          <w:rFonts w:ascii="Times New Roman" w:eastAsia="Times New Roman" w:hAnsi="Times New Roman" w:cs="Times New Roman"/>
          <w:color w:val="000000"/>
          <w:sz w:val="28"/>
          <w:szCs w:val="28"/>
          <w:lang w:val="bg-BG"/>
        </w:rPr>
      </w:pPr>
      <w:r w:rsidRPr="009837C9">
        <w:rPr>
          <w:rFonts w:ascii="Times New Roman" w:eastAsia="Times New Roman" w:hAnsi="Times New Roman" w:cs="Times New Roman"/>
          <w:color w:val="000000"/>
          <w:sz w:val="28"/>
          <w:szCs w:val="28"/>
          <w:lang w:val="bg-BG"/>
        </w:rPr>
        <w:t>Въпросът за поведението на длъжностните лица от институциите, които по закон осъществяват контрол на дейността на ВЕИ централите и електроразпределителните дружества е свързан с въпросът за обективността, безпристрастността и мотивацията при изпълнение на тези дейности.</w:t>
      </w:r>
    </w:p>
    <w:p w:rsidR="009837C9" w:rsidRPr="009837C9" w:rsidRDefault="009837C9" w:rsidP="009837C9">
      <w:pPr>
        <w:spacing w:after="0" w:line="240" w:lineRule="auto"/>
        <w:ind w:firstLine="1428"/>
        <w:jc w:val="both"/>
        <w:rPr>
          <w:rFonts w:ascii="Times New Roman" w:eastAsia="Times New Roman" w:hAnsi="Times New Roman" w:cs="Times New Roman"/>
          <w:color w:val="000000"/>
          <w:sz w:val="28"/>
          <w:szCs w:val="28"/>
          <w:lang w:val="bg-BG"/>
        </w:rPr>
      </w:pPr>
      <w:r w:rsidRPr="009837C9">
        <w:rPr>
          <w:rFonts w:ascii="Times New Roman" w:eastAsia="Times New Roman" w:hAnsi="Times New Roman" w:cs="Times New Roman"/>
          <w:color w:val="000000"/>
          <w:sz w:val="28"/>
          <w:szCs w:val="28"/>
          <w:lang w:val="bg-BG"/>
        </w:rPr>
        <w:t xml:space="preserve">2.3.При срещите и разговорите с членовете на работните групи от КЕВР извършили проверката се констатира осъществяване на </w:t>
      </w:r>
      <w:r w:rsidRPr="009837C9">
        <w:rPr>
          <w:rFonts w:ascii="Times New Roman" w:eastAsia="Times New Roman" w:hAnsi="Times New Roman" w:cs="Times New Roman"/>
          <w:b/>
          <w:color w:val="000000"/>
          <w:sz w:val="28"/>
          <w:szCs w:val="28"/>
          <w:lang w:val="bg-BG"/>
        </w:rPr>
        <w:t>натиск и недопустимо вмешателство и влияние от страна на тогавашния състав на ДКЕВР.</w:t>
      </w:r>
      <w:r w:rsidRPr="009837C9">
        <w:rPr>
          <w:rFonts w:ascii="Times New Roman" w:eastAsia="Times New Roman" w:hAnsi="Times New Roman" w:cs="Times New Roman"/>
          <w:color w:val="000000"/>
          <w:sz w:val="28"/>
          <w:szCs w:val="28"/>
          <w:lang w:val="bg-BG"/>
        </w:rPr>
        <w:t xml:space="preserve"> Същото поставя под съмнение пълнотата и обективността на изнесената в докладите информация. – Протокол №10 от 13.05.2015г. на ВАКПОСЕРБ стр.8 и 9.</w:t>
      </w:r>
    </w:p>
    <w:p w:rsidR="009837C9" w:rsidRPr="009837C9" w:rsidRDefault="009837C9" w:rsidP="009837C9">
      <w:pPr>
        <w:spacing w:after="0" w:line="240" w:lineRule="auto"/>
        <w:ind w:firstLine="1428"/>
        <w:jc w:val="both"/>
        <w:rPr>
          <w:rFonts w:ascii="Times New Roman" w:eastAsia="Times New Roman" w:hAnsi="Times New Roman" w:cs="Times New Roman"/>
          <w:b/>
          <w:color w:val="000000"/>
          <w:sz w:val="28"/>
          <w:szCs w:val="28"/>
          <w:lang w:val="bg-BG"/>
        </w:rPr>
      </w:pPr>
      <w:r w:rsidRPr="009837C9">
        <w:rPr>
          <w:rFonts w:ascii="Times New Roman" w:eastAsia="Times New Roman" w:hAnsi="Times New Roman" w:cs="Times New Roman"/>
          <w:color w:val="000000"/>
          <w:sz w:val="28"/>
          <w:szCs w:val="28"/>
          <w:lang w:val="bg-BG"/>
        </w:rPr>
        <w:t xml:space="preserve">2.4.Съгласно чл. 57, ал.1 от ЗЕВИ, КЕВР прилага принудителни административни мерки, когато установи, че контролираните по този закон лица, техните служители, лица, които по договор изпълняват ръководни </w:t>
      </w:r>
      <w:r w:rsidRPr="009837C9">
        <w:rPr>
          <w:rFonts w:ascii="Times New Roman" w:eastAsia="Times New Roman" w:hAnsi="Times New Roman" w:cs="Times New Roman"/>
          <w:color w:val="000000"/>
          <w:sz w:val="28"/>
          <w:szCs w:val="28"/>
          <w:lang w:val="bg-BG"/>
        </w:rPr>
        <w:lastRenderedPageBreak/>
        <w:t xml:space="preserve">функции в тях или сключват сделки за тяхна сметка, са извършили или извършват действия, с които нарушават разпоредби на този закон, на подзаконовите актове по прилагането му и на актове на комисията. Следователно ДКЕВР/КЕВР са имали и имат право </w:t>
      </w:r>
      <w:r w:rsidRPr="009837C9">
        <w:rPr>
          <w:rFonts w:ascii="Times New Roman" w:eastAsia="Times New Roman" w:hAnsi="Times New Roman" w:cs="Times New Roman"/>
          <w:b/>
          <w:color w:val="000000"/>
          <w:sz w:val="28"/>
          <w:szCs w:val="28"/>
          <w:lang w:val="bg-BG"/>
        </w:rPr>
        <w:t>да дадат задължителни предписания както на ЕРП така и на ВЕИ производителите за изпълнение на нормативните изисквания на ЗЕВИ, под формата на принудителни административни мерки, вместо да препоръчват подобни действия.(например – прекратяване на изкупуване на ел. Енергия от ВЕИ нарушили законите и наредбите)</w:t>
      </w:r>
    </w:p>
    <w:p w:rsidR="009837C9" w:rsidRPr="009837C9" w:rsidRDefault="009837C9" w:rsidP="009837C9">
      <w:pPr>
        <w:spacing w:after="0" w:line="240" w:lineRule="auto"/>
        <w:ind w:firstLine="1428"/>
        <w:jc w:val="both"/>
        <w:rPr>
          <w:rFonts w:ascii="Times New Roman" w:eastAsia="Times New Roman" w:hAnsi="Times New Roman" w:cs="Times New Roman"/>
          <w:color w:val="000000"/>
          <w:sz w:val="28"/>
          <w:szCs w:val="28"/>
          <w:lang w:val="bg-BG"/>
        </w:rPr>
      </w:pPr>
    </w:p>
    <w:p w:rsidR="009837C9" w:rsidRPr="009837C9" w:rsidRDefault="009837C9" w:rsidP="009837C9">
      <w:pPr>
        <w:spacing w:after="0" w:line="240" w:lineRule="auto"/>
        <w:ind w:firstLine="1428"/>
        <w:jc w:val="both"/>
        <w:rPr>
          <w:rFonts w:ascii="Times New Roman" w:eastAsia="Times New Roman" w:hAnsi="Times New Roman" w:cs="Times New Roman"/>
          <w:b/>
          <w:color w:val="000000"/>
          <w:sz w:val="28"/>
          <w:szCs w:val="28"/>
          <w:lang w:val="bg-BG"/>
        </w:rPr>
      </w:pPr>
      <w:r w:rsidRPr="009837C9">
        <w:rPr>
          <w:rFonts w:ascii="Times New Roman" w:eastAsia="Times New Roman" w:hAnsi="Times New Roman" w:cs="Times New Roman"/>
          <w:b/>
          <w:color w:val="000000"/>
          <w:sz w:val="28"/>
          <w:szCs w:val="28"/>
          <w:lang w:val="bg-BG"/>
        </w:rPr>
        <w:t>3.</w:t>
      </w:r>
      <w:r w:rsidRPr="009837C9">
        <w:rPr>
          <w:rFonts w:ascii="Times New Roman" w:eastAsia="Times New Roman" w:hAnsi="Times New Roman" w:cs="Times New Roman"/>
          <w:color w:val="000000"/>
          <w:sz w:val="28"/>
          <w:szCs w:val="28"/>
          <w:lang w:val="bg-BG"/>
        </w:rPr>
        <w:t xml:space="preserve"> За част от ВЕИ централите се констатира сериозно разминаване между датите в които са съставени документите за въвеждане в експлоатация и датите, на които започват за произвеждат електрическа енергия, като за една част от производителите тези разлики са над 6 месеца. Данните за това, както и другите констатирани необясними разминавания в данните на ЕРП и ДНСК </w:t>
      </w:r>
      <w:r w:rsidRPr="009837C9">
        <w:rPr>
          <w:rFonts w:ascii="Times New Roman" w:eastAsia="Times New Roman" w:hAnsi="Times New Roman" w:cs="Times New Roman"/>
          <w:b/>
          <w:color w:val="000000"/>
          <w:sz w:val="28"/>
          <w:szCs w:val="28"/>
          <w:lang w:val="bg-BG"/>
        </w:rPr>
        <w:t xml:space="preserve">следва да се изпратят на Прокуратурата, която да изясни причините и </w:t>
      </w:r>
      <w:proofErr w:type="spellStart"/>
      <w:r w:rsidRPr="009837C9">
        <w:rPr>
          <w:rFonts w:ascii="Times New Roman" w:eastAsia="Times New Roman" w:hAnsi="Times New Roman" w:cs="Times New Roman"/>
          <w:b/>
          <w:color w:val="000000"/>
          <w:sz w:val="28"/>
          <w:szCs w:val="28"/>
          <w:lang w:val="bg-BG"/>
        </w:rPr>
        <w:t>исиността</w:t>
      </w:r>
      <w:proofErr w:type="spellEnd"/>
      <w:r w:rsidRPr="009837C9">
        <w:rPr>
          <w:rFonts w:ascii="Times New Roman" w:eastAsia="Times New Roman" w:hAnsi="Times New Roman" w:cs="Times New Roman"/>
          <w:b/>
          <w:color w:val="000000"/>
          <w:sz w:val="28"/>
          <w:szCs w:val="28"/>
          <w:lang w:val="bg-BG"/>
        </w:rPr>
        <w:t xml:space="preserve"> на представените документи.</w:t>
      </w:r>
    </w:p>
    <w:p w:rsidR="0064309E" w:rsidRDefault="0064309E"/>
    <w:sectPr w:rsidR="0064309E">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6A2" w:rsidRDefault="003476A2" w:rsidP="00EF1867">
      <w:pPr>
        <w:spacing w:after="0" w:line="240" w:lineRule="auto"/>
      </w:pPr>
      <w:r>
        <w:separator/>
      </w:r>
    </w:p>
  </w:endnote>
  <w:endnote w:type="continuationSeparator" w:id="0">
    <w:p w:rsidR="003476A2" w:rsidRDefault="003476A2" w:rsidP="00EF1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6A2" w:rsidRDefault="003476A2" w:rsidP="00EF1867">
      <w:pPr>
        <w:spacing w:after="0" w:line="240" w:lineRule="auto"/>
      </w:pPr>
      <w:r>
        <w:separator/>
      </w:r>
    </w:p>
  </w:footnote>
  <w:footnote w:type="continuationSeparator" w:id="0">
    <w:p w:rsidR="003476A2" w:rsidRDefault="003476A2" w:rsidP="00EF18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7C9"/>
    <w:rsid w:val="003476A2"/>
    <w:rsid w:val="0064309E"/>
    <w:rsid w:val="009837C9"/>
    <w:rsid w:val="00EF1867"/>
    <w:rsid w:val="00F83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867"/>
    <w:pPr>
      <w:tabs>
        <w:tab w:val="center" w:pos="4703"/>
        <w:tab w:val="right" w:pos="9406"/>
      </w:tabs>
      <w:spacing w:after="0" w:line="240" w:lineRule="auto"/>
    </w:pPr>
  </w:style>
  <w:style w:type="character" w:customStyle="1" w:styleId="HeaderChar">
    <w:name w:val="Header Char"/>
    <w:basedOn w:val="DefaultParagraphFont"/>
    <w:link w:val="Header"/>
    <w:uiPriority w:val="99"/>
    <w:rsid w:val="00EF1867"/>
  </w:style>
  <w:style w:type="paragraph" w:styleId="Footer">
    <w:name w:val="footer"/>
    <w:basedOn w:val="Normal"/>
    <w:link w:val="FooterChar"/>
    <w:uiPriority w:val="99"/>
    <w:unhideWhenUsed/>
    <w:rsid w:val="00EF1867"/>
    <w:pPr>
      <w:tabs>
        <w:tab w:val="center" w:pos="4703"/>
        <w:tab w:val="right" w:pos="9406"/>
      </w:tabs>
      <w:spacing w:after="0" w:line="240" w:lineRule="auto"/>
    </w:pPr>
  </w:style>
  <w:style w:type="character" w:customStyle="1" w:styleId="FooterChar">
    <w:name w:val="Footer Char"/>
    <w:basedOn w:val="DefaultParagraphFont"/>
    <w:link w:val="Footer"/>
    <w:uiPriority w:val="99"/>
    <w:rsid w:val="00EF18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867"/>
    <w:pPr>
      <w:tabs>
        <w:tab w:val="center" w:pos="4703"/>
        <w:tab w:val="right" w:pos="9406"/>
      </w:tabs>
      <w:spacing w:after="0" w:line="240" w:lineRule="auto"/>
    </w:pPr>
  </w:style>
  <w:style w:type="character" w:customStyle="1" w:styleId="HeaderChar">
    <w:name w:val="Header Char"/>
    <w:basedOn w:val="DefaultParagraphFont"/>
    <w:link w:val="Header"/>
    <w:uiPriority w:val="99"/>
    <w:rsid w:val="00EF1867"/>
  </w:style>
  <w:style w:type="paragraph" w:styleId="Footer">
    <w:name w:val="footer"/>
    <w:basedOn w:val="Normal"/>
    <w:link w:val="FooterChar"/>
    <w:uiPriority w:val="99"/>
    <w:unhideWhenUsed/>
    <w:rsid w:val="00EF1867"/>
    <w:pPr>
      <w:tabs>
        <w:tab w:val="center" w:pos="4703"/>
        <w:tab w:val="right" w:pos="9406"/>
      </w:tabs>
      <w:spacing w:after="0" w:line="240" w:lineRule="auto"/>
    </w:pPr>
  </w:style>
  <w:style w:type="character" w:customStyle="1" w:styleId="FooterChar">
    <w:name w:val="Footer Char"/>
    <w:basedOn w:val="DefaultParagraphFont"/>
    <w:link w:val="Footer"/>
    <w:uiPriority w:val="99"/>
    <w:rsid w:val="00EF1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pgpf</dc:creator>
  <cp:lastModifiedBy>pgpf</cp:lastModifiedBy>
  <cp:revision>3</cp:revision>
  <dcterms:created xsi:type="dcterms:W3CDTF">2015-07-31T09:44:00Z</dcterms:created>
  <dcterms:modified xsi:type="dcterms:W3CDTF">2015-07-31T09:51:00Z</dcterms:modified>
</cp:coreProperties>
</file>